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F0" w:rsidRDefault="00675FF0" w:rsidP="00991092">
      <w:pPr>
        <w:spacing w:after="160" w:line="259" w:lineRule="auto"/>
        <w:rPr>
          <w:rFonts w:ascii="Calibri" w:eastAsia="Calibri" w:hAnsi="Calibri" w:cs="Times New Roman"/>
          <w:b/>
          <w:bCs/>
          <w:sz w:val="22"/>
          <w:lang w:val="nl-BE"/>
        </w:rPr>
      </w:pPr>
    </w:p>
    <w:p w:rsidR="00DD5FB0" w:rsidRPr="000B0AA0" w:rsidRDefault="00DD5FB0" w:rsidP="00DD5FB0">
      <w:pPr>
        <w:spacing w:after="160" w:line="259" w:lineRule="auto"/>
        <w:rPr>
          <w:rFonts w:ascii="Calibri" w:eastAsia="Calibri" w:hAnsi="Calibri" w:cs="Times New Roman"/>
          <w:b/>
          <w:bCs/>
          <w:sz w:val="22"/>
          <w:lang w:val="fr-FR"/>
        </w:rPr>
      </w:pPr>
      <w:r w:rsidRPr="000B0AA0">
        <w:rPr>
          <w:rFonts w:ascii="Calibri" w:eastAsia="Calibri" w:hAnsi="Calibri" w:cs="Times New Roman"/>
          <w:b/>
          <w:sz w:val="22"/>
          <w:lang w:val="fr-FR" w:bidi="fr-FR"/>
        </w:rPr>
        <w:t>Nouvelle circulaire TVA en cas de vente par le biais d’un intermédiaire.</w:t>
      </w:r>
    </w:p>
    <w:p w:rsidR="00DD5FB0" w:rsidRPr="000B0AA0" w:rsidRDefault="00DD5FB0" w:rsidP="00DD5FB0">
      <w:pPr>
        <w:spacing w:after="160" w:line="259" w:lineRule="auto"/>
        <w:rPr>
          <w:rFonts w:ascii="Calibri" w:eastAsia="Calibri" w:hAnsi="Calibri" w:cs="Times New Roman"/>
          <w:sz w:val="22"/>
          <w:lang w:val="fr-FR"/>
        </w:rPr>
      </w:pPr>
      <w:r w:rsidRPr="000B0AA0">
        <w:rPr>
          <w:rFonts w:ascii="Calibri" w:eastAsia="Calibri" w:hAnsi="Calibri" w:cs="Times New Roman"/>
          <w:sz w:val="22"/>
          <w:lang w:val="fr-FR" w:bidi="fr-FR"/>
        </w:rPr>
        <w:t>Le gouvernement est déterminé à mettre fin à la méthode de facturation actuelle dans le secteur du voyage.  Comme chacun le sait, l’organisateur/tour-opérateur facture pour l’instant le montant NET (prix de vente acquéreur - commission facilitateur) à l’intermédiaire/agence de voyage, en calculant la TVA sur le montant brut.  Cette méthode a longtemps été tolérée, mais va bientôt disparaître.</w:t>
      </w:r>
    </w:p>
    <w:p w:rsidR="00DD5FB0" w:rsidRPr="000B0AA0" w:rsidRDefault="00DD5FB0" w:rsidP="00DD5FB0">
      <w:pPr>
        <w:spacing w:after="160" w:line="259" w:lineRule="auto"/>
        <w:rPr>
          <w:rFonts w:ascii="Calibri" w:eastAsia="Calibri" w:hAnsi="Calibri" w:cs="Times New Roman"/>
          <w:sz w:val="22"/>
          <w:lang w:val="fr-FR"/>
        </w:rPr>
      </w:pPr>
      <w:r w:rsidRPr="000B0AA0">
        <w:rPr>
          <w:rFonts w:ascii="Calibri" w:eastAsia="Calibri" w:hAnsi="Calibri" w:cs="Times New Roman"/>
          <w:sz w:val="22"/>
          <w:lang w:val="fr-FR" w:bidi="fr-FR"/>
        </w:rPr>
        <w:t>La loi prescrit que l’organisateur/tour-opérateur facture à l’acquéreur/voyageur.  Si l’acquéreur réserve son voyage par le biais d’un intermédiaire/une agence de voyage, l’intermédiaire doit établir une facture de vente pour sa commission à l’adresse de l’organisateur.  L’organisateur reçoit cette facture (de son point de vue une facture d’achat) et l’inscrit dans son journal d’achat.</w:t>
      </w:r>
    </w:p>
    <w:p w:rsidR="00DD5FB0" w:rsidRPr="000B0AA0" w:rsidRDefault="00DD5FB0" w:rsidP="00DD5FB0">
      <w:pPr>
        <w:spacing w:after="160" w:line="259" w:lineRule="auto"/>
        <w:rPr>
          <w:rFonts w:ascii="Calibri" w:eastAsia="Calibri" w:hAnsi="Calibri" w:cs="Times New Roman"/>
          <w:sz w:val="22"/>
          <w:lang w:val="fr-FR"/>
        </w:rPr>
      </w:pPr>
      <w:r w:rsidRPr="000B0AA0">
        <w:rPr>
          <w:rFonts w:ascii="Calibri" w:eastAsia="Calibri" w:hAnsi="Calibri" w:cs="Times New Roman"/>
          <w:sz w:val="22"/>
          <w:lang w:val="fr-FR" w:bidi="fr-FR"/>
        </w:rPr>
        <w:t>Il faudra appliquer cette méthode pour toutes les réservations enregistrées à partir du 1er janvier 2022, si un intermédiaire intervient dans le processus de vente.</w:t>
      </w:r>
    </w:p>
    <w:p w:rsidR="00DD5FB0" w:rsidRPr="000B0AA0" w:rsidRDefault="00DD5FB0" w:rsidP="00DD5FB0">
      <w:pPr>
        <w:spacing w:after="160" w:line="259" w:lineRule="auto"/>
        <w:rPr>
          <w:rFonts w:ascii="Calibri" w:eastAsia="Calibri" w:hAnsi="Calibri" w:cs="Times New Roman"/>
          <w:sz w:val="22"/>
          <w:lang w:val="fr-FR"/>
        </w:rPr>
      </w:pPr>
      <w:r w:rsidRPr="000B0AA0">
        <w:rPr>
          <w:rFonts w:ascii="Calibri" w:eastAsia="Calibri" w:hAnsi="Calibri" w:cs="Times New Roman"/>
          <w:sz w:val="22"/>
          <w:lang w:val="fr-FR" w:bidi="fr-FR"/>
        </w:rPr>
        <w:t xml:space="preserve">Cela fait déjà un bon moment que Servico a entrepris la programmation et les préparatifs nécessaires à la mise en place de cette méthode. </w:t>
      </w:r>
      <w:r w:rsidRPr="000B0AA0">
        <w:rPr>
          <w:rFonts w:ascii="Calibri" w:eastAsia="Calibri" w:hAnsi="Calibri" w:cs="Times New Roman"/>
          <w:b/>
          <w:sz w:val="22"/>
          <w:lang w:val="fr-FR" w:bidi="fr-FR"/>
        </w:rPr>
        <w:t>Vous devrez également entreprendre certaines actions</w:t>
      </w:r>
      <w:r w:rsidRPr="000B0AA0">
        <w:rPr>
          <w:rFonts w:ascii="Calibri" w:eastAsia="Calibri" w:hAnsi="Calibri" w:cs="Times New Roman"/>
          <w:sz w:val="22"/>
          <w:lang w:val="fr-FR" w:bidi="fr-FR"/>
        </w:rPr>
        <w:t xml:space="preserve"> dans le cadre de l’introduction de ces futurs changements, afin de pouvoir démarrer avec cette nouvelle méthode au plus tard le 1er janvier 2022.</w:t>
      </w:r>
    </w:p>
    <w:p w:rsidR="00DD5FB0" w:rsidRPr="000B0AA0" w:rsidRDefault="00DD5FB0" w:rsidP="00DD5FB0">
      <w:pPr>
        <w:spacing w:after="160" w:line="259" w:lineRule="auto"/>
        <w:rPr>
          <w:rFonts w:ascii="Calibri" w:eastAsia="Calibri" w:hAnsi="Calibri" w:cs="Times New Roman"/>
          <w:sz w:val="22"/>
          <w:lang w:val="fr-FR"/>
        </w:rPr>
      </w:pPr>
      <w:r w:rsidRPr="000B0AA0">
        <w:rPr>
          <w:rFonts w:ascii="Calibri" w:eastAsia="Calibri" w:hAnsi="Calibri" w:cs="Times New Roman"/>
          <w:sz w:val="22"/>
          <w:lang w:val="fr-FR" w:bidi="fr-FR"/>
        </w:rPr>
        <w:t xml:space="preserve">Les </w:t>
      </w:r>
      <w:r>
        <w:rPr>
          <w:rFonts w:ascii="Calibri" w:eastAsia="Calibri" w:hAnsi="Calibri" w:cs="Times New Roman"/>
          <w:sz w:val="22"/>
          <w:lang w:val="fr-FR" w:bidi="fr-FR"/>
        </w:rPr>
        <w:t>organisateurs</w:t>
      </w:r>
      <w:r w:rsidRPr="000B0AA0">
        <w:rPr>
          <w:rFonts w:ascii="Calibri" w:eastAsia="Calibri" w:hAnsi="Calibri" w:cs="Times New Roman"/>
          <w:sz w:val="22"/>
          <w:lang w:val="fr-FR" w:bidi="fr-FR"/>
        </w:rPr>
        <w:t xml:space="preserve"> avec lesquels vous continuerez de collaborer devront également </w:t>
      </w:r>
      <w:proofErr w:type="spellStart"/>
      <w:r>
        <w:rPr>
          <w:rFonts w:ascii="Calibri" w:eastAsia="Calibri" w:hAnsi="Calibri" w:cs="Times New Roman"/>
          <w:sz w:val="22"/>
          <w:lang w:val="fr-FR" w:bidi="fr-FR"/>
        </w:rPr>
        <w:t>expecter</w:t>
      </w:r>
      <w:proofErr w:type="spellEnd"/>
      <w:r w:rsidRPr="000B0AA0">
        <w:rPr>
          <w:rFonts w:ascii="Calibri" w:eastAsia="Calibri" w:hAnsi="Calibri" w:cs="Times New Roman"/>
          <w:sz w:val="22"/>
          <w:lang w:val="fr-FR" w:bidi="fr-FR"/>
        </w:rPr>
        <w:t xml:space="preserve"> des factures (factures de commission), À MOINS qu’il en soit prévu de procéder par Self-</w:t>
      </w:r>
      <w:proofErr w:type="spellStart"/>
      <w:r w:rsidRPr="000B0AA0">
        <w:rPr>
          <w:rFonts w:ascii="Calibri" w:eastAsia="Calibri" w:hAnsi="Calibri" w:cs="Times New Roman"/>
          <w:sz w:val="22"/>
          <w:lang w:val="fr-FR" w:bidi="fr-FR"/>
        </w:rPr>
        <w:t>billing</w:t>
      </w:r>
      <w:proofErr w:type="spellEnd"/>
      <w:r w:rsidRPr="000B0AA0">
        <w:rPr>
          <w:rFonts w:ascii="Calibri" w:eastAsia="Calibri" w:hAnsi="Calibri" w:cs="Times New Roman"/>
          <w:sz w:val="22"/>
          <w:lang w:val="fr-FR" w:bidi="fr-FR"/>
        </w:rPr>
        <w:t xml:space="preserve">, l’organisateur établissant et adressant dans ce cas la facture de commission à l’intermédiaire. </w:t>
      </w:r>
      <w:r w:rsidRPr="000B0AA0">
        <w:rPr>
          <w:rFonts w:ascii="Calibri" w:eastAsia="Calibri" w:hAnsi="Calibri" w:cs="Times New Roman"/>
          <w:sz w:val="22"/>
          <w:lang w:val="fr-FR" w:bidi="fr-FR"/>
        </w:rPr>
        <w:br/>
      </w:r>
      <w:r w:rsidRPr="000B0AA0">
        <w:rPr>
          <w:rFonts w:ascii="Calibri" w:eastAsia="Calibri" w:hAnsi="Calibri" w:cs="Times New Roman"/>
          <w:b/>
          <w:sz w:val="22"/>
          <w:lang w:val="fr-FR" w:bidi="fr-FR"/>
        </w:rPr>
        <w:t>Que ce soit dans le cas d’une Self-</w:t>
      </w:r>
      <w:proofErr w:type="spellStart"/>
      <w:r w:rsidRPr="000B0AA0">
        <w:rPr>
          <w:rFonts w:ascii="Calibri" w:eastAsia="Calibri" w:hAnsi="Calibri" w:cs="Times New Roman"/>
          <w:b/>
          <w:sz w:val="22"/>
          <w:lang w:val="fr-FR" w:bidi="fr-FR"/>
        </w:rPr>
        <w:t>billing</w:t>
      </w:r>
      <w:proofErr w:type="spellEnd"/>
      <w:r w:rsidRPr="000B0AA0">
        <w:rPr>
          <w:rFonts w:ascii="Calibri" w:eastAsia="Calibri" w:hAnsi="Calibri" w:cs="Times New Roman"/>
          <w:b/>
          <w:sz w:val="22"/>
          <w:lang w:val="fr-FR" w:bidi="fr-FR"/>
        </w:rPr>
        <w:t xml:space="preserve"> ou dans celui où l’intermédiaire établit la facture pour la commission, un accord doit être passé entre les deux parties</w:t>
      </w:r>
      <w:r w:rsidRPr="000B0AA0">
        <w:rPr>
          <w:rFonts w:ascii="Calibri" w:eastAsia="Calibri" w:hAnsi="Calibri" w:cs="Times New Roman"/>
          <w:sz w:val="22"/>
          <w:lang w:val="fr-FR" w:bidi="fr-FR"/>
        </w:rPr>
        <w:t>, ce qui implique un document signé :</w:t>
      </w:r>
    </w:p>
    <w:p w:rsidR="00DD5FB0" w:rsidRPr="000B0AA0" w:rsidRDefault="00DD5FB0" w:rsidP="00DD5FB0">
      <w:pPr>
        <w:numPr>
          <w:ilvl w:val="0"/>
          <w:numId w:val="6"/>
        </w:numPr>
        <w:spacing w:after="160" w:line="259" w:lineRule="auto"/>
        <w:contextualSpacing/>
        <w:rPr>
          <w:rFonts w:ascii="Calibri" w:eastAsia="Calibri" w:hAnsi="Calibri" w:cs="Times New Roman"/>
          <w:sz w:val="22"/>
          <w:lang w:val="fr-FR"/>
        </w:rPr>
      </w:pPr>
      <w:r w:rsidRPr="000B0AA0">
        <w:rPr>
          <w:rFonts w:ascii="Calibri" w:eastAsia="Calibri" w:hAnsi="Calibri" w:cs="Times New Roman"/>
          <w:sz w:val="22"/>
          <w:lang w:val="fr-FR" w:bidi="fr-FR"/>
        </w:rPr>
        <w:t>Une Self-</w:t>
      </w:r>
      <w:proofErr w:type="spellStart"/>
      <w:r w:rsidRPr="000B0AA0">
        <w:rPr>
          <w:rFonts w:ascii="Calibri" w:eastAsia="Calibri" w:hAnsi="Calibri" w:cs="Times New Roman"/>
          <w:sz w:val="22"/>
          <w:lang w:val="fr-FR" w:bidi="fr-FR"/>
        </w:rPr>
        <w:t>billing</w:t>
      </w:r>
      <w:proofErr w:type="spellEnd"/>
      <w:r w:rsidRPr="000B0AA0">
        <w:rPr>
          <w:rFonts w:ascii="Calibri" w:eastAsia="Calibri" w:hAnsi="Calibri" w:cs="Times New Roman"/>
          <w:sz w:val="22"/>
          <w:lang w:val="fr-FR" w:bidi="fr-FR"/>
        </w:rPr>
        <w:t xml:space="preserve"> nécessite un document donnant l’autorisation d’y procéder.</w:t>
      </w:r>
    </w:p>
    <w:p w:rsidR="00DD5FB0" w:rsidRPr="000B0AA0" w:rsidRDefault="00DD5FB0" w:rsidP="00DD5FB0">
      <w:pPr>
        <w:numPr>
          <w:ilvl w:val="0"/>
          <w:numId w:val="6"/>
        </w:numPr>
        <w:spacing w:after="160" w:line="259" w:lineRule="auto"/>
        <w:contextualSpacing/>
        <w:rPr>
          <w:rFonts w:ascii="Calibri" w:eastAsia="Calibri" w:hAnsi="Calibri" w:cs="Times New Roman"/>
          <w:sz w:val="22"/>
          <w:lang w:val="fr-FR"/>
        </w:rPr>
      </w:pPr>
      <w:r w:rsidRPr="000B0AA0">
        <w:rPr>
          <w:rFonts w:ascii="Calibri" w:eastAsia="Calibri" w:hAnsi="Calibri" w:cs="Times New Roman"/>
          <w:sz w:val="22"/>
          <w:lang w:val="fr-FR" w:bidi="fr-FR"/>
        </w:rPr>
        <w:t>Si c’est l’intermédiaire qui établit la facture de commission, cela nécessite un document indiquant que la facturation peut avoir lieu sans TVA puisqu’elle peut être déduite par l’organisateur.</w:t>
      </w:r>
    </w:p>
    <w:p w:rsidR="00DD5FB0" w:rsidRPr="000B0AA0" w:rsidRDefault="00DD5FB0" w:rsidP="00DD5FB0">
      <w:pPr>
        <w:spacing w:after="160" w:line="259" w:lineRule="auto"/>
        <w:rPr>
          <w:rFonts w:ascii="Calibri" w:eastAsia="Calibri" w:hAnsi="Calibri" w:cs="Times New Roman"/>
          <w:sz w:val="22"/>
          <w:lang w:val="fr-FR"/>
        </w:rPr>
      </w:pPr>
      <w:r w:rsidRPr="000B0AA0">
        <w:rPr>
          <w:rFonts w:ascii="Calibri" w:eastAsia="Calibri" w:hAnsi="Calibri" w:cs="Times New Roman"/>
          <w:b/>
          <w:sz w:val="22"/>
          <w:lang w:val="fr-FR" w:bidi="fr-FR"/>
        </w:rPr>
        <w:t xml:space="preserve">Les </w:t>
      </w:r>
      <w:r>
        <w:rPr>
          <w:rFonts w:ascii="Calibri" w:eastAsia="Calibri" w:hAnsi="Calibri" w:cs="Times New Roman"/>
          <w:b/>
          <w:sz w:val="22"/>
          <w:lang w:val="fr-FR" w:bidi="fr-FR"/>
        </w:rPr>
        <w:t>fournisseurs</w:t>
      </w:r>
      <w:r w:rsidRPr="000B0AA0">
        <w:rPr>
          <w:rFonts w:ascii="Calibri" w:eastAsia="Calibri" w:hAnsi="Calibri" w:cs="Times New Roman"/>
          <w:b/>
          <w:sz w:val="22"/>
          <w:lang w:val="fr-FR" w:bidi="fr-FR"/>
        </w:rPr>
        <w:t xml:space="preserve"> seront donc aussi </w:t>
      </w:r>
      <w:r>
        <w:rPr>
          <w:rFonts w:ascii="Calibri" w:eastAsia="Calibri" w:hAnsi="Calibri" w:cs="Times New Roman"/>
          <w:b/>
          <w:sz w:val="22"/>
          <w:lang w:val="fr-FR" w:bidi="fr-FR"/>
        </w:rPr>
        <w:t>CLIENTS</w:t>
      </w:r>
      <w:r w:rsidRPr="000B0AA0">
        <w:rPr>
          <w:rFonts w:ascii="Calibri" w:eastAsia="Calibri" w:hAnsi="Calibri" w:cs="Times New Roman"/>
          <w:b/>
          <w:sz w:val="22"/>
          <w:lang w:val="fr-FR" w:bidi="fr-FR"/>
        </w:rPr>
        <w:t xml:space="preserve">. </w:t>
      </w:r>
      <w:r w:rsidRPr="000B0AA0">
        <w:rPr>
          <w:rFonts w:ascii="Calibri" w:eastAsia="Calibri" w:hAnsi="Calibri" w:cs="Times New Roman"/>
          <w:sz w:val="22"/>
          <w:lang w:val="fr-FR" w:bidi="fr-FR"/>
        </w:rPr>
        <w:t xml:space="preserve">La facture de commission est une facture de vente pour </w:t>
      </w:r>
      <w:r>
        <w:rPr>
          <w:rFonts w:ascii="Calibri" w:eastAsia="Calibri" w:hAnsi="Calibri" w:cs="Times New Roman"/>
          <w:sz w:val="22"/>
          <w:lang w:val="fr-FR" w:bidi="fr-FR"/>
        </w:rPr>
        <w:t>vous</w:t>
      </w:r>
      <w:r w:rsidRPr="000B0AA0">
        <w:rPr>
          <w:rFonts w:ascii="Calibri" w:eastAsia="Calibri" w:hAnsi="Calibri" w:cs="Times New Roman"/>
          <w:sz w:val="22"/>
          <w:lang w:val="fr-FR" w:bidi="fr-FR"/>
        </w:rPr>
        <w:t xml:space="preserve">. La facture de commission est une facture d’achat pour l’organisateur. Selon la réglementation légale, vous devrez inscrire ces factures d’achat dans un journal </w:t>
      </w:r>
      <w:r>
        <w:rPr>
          <w:rFonts w:ascii="Calibri" w:eastAsia="Calibri" w:hAnsi="Calibri" w:cs="Times New Roman"/>
          <w:sz w:val="22"/>
          <w:lang w:val="fr-FR" w:bidi="fr-FR"/>
        </w:rPr>
        <w:t>de vente</w:t>
      </w:r>
      <w:r w:rsidRPr="000B0AA0">
        <w:rPr>
          <w:rFonts w:ascii="Calibri" w:eastAsia="Calibri" w:hAnsi="Calibri" w:cs="Times New Roman"/>
          <w:sz w:val="22"/>
          <w:lang w:val="fr-FR" w:bidi="fr-FR"/>
        </w:rPr>
        <w:t xml:space="preserve">.  </w:t>
      </w:r>
      <w:r w:rsidRPr="000B0AA0">
        <w:rPr>
          <w:rFonts w:ascii="Calibri" w:eastAsia="Calibri" w:hAnsi="Calibri" w:cs="Times New Roman"/>
          <w:b/>
          <w:sz w:val="22"/>
          <w:lang w:val="fr-FR" w:bidi="fr-FR"/>
        </w:rPr>
        <w:t xml:space="preserve">Quelques journaux </w:t>
      </w:r>
      <w:r>
        <w:rPr>
          <w:rFonts w:ascii="Calibri" w:eastAsia="Calibri" w:hAnsi="Calibri" w:cs="Times New Roman"/>
          <w:b/>
          <w:sz w:val="22"/>
          <w:lang w:val="fr-FR" w:bidi="fr-FR"/>
        </w:rPr>
        <w:t>de ventes</w:t>
      </w:r>
      <w:r w:rsidRPr="000B0AA0">
        <w:rPr>
          <w:rFonts w:ascii="Calibri" w:eastAsia="Calibri" w:hAnsi="Calibri" w:cs="Times New Roman"/>
          <w:b/>
          <w:sz w:val="22"/>
          <w:lang w:val="fr-FR" w:bidi="fr-FR"/>
        </w:rPr>
        <w:t xml:space="preserve"> devront en plus être créés. </w:t>
      </w:r>
    </w:p>
    <w:p w:rsidR="00991092" w:rsidRPr="00DD5FB0" w:rsidRDefault="00DD5FB0" w:rsidP="00991092">
      <w:pPr>
        <w:spacing w:after="160" w:line="259" w:lineRule="auto"/>
        <w:rPr>
          <w:rFonts w:ascii="Calibri" w:eastAsia="Calibri" w:hAnsi="Calibri" w:cs="Times New Roman"/>
          <w:sz w:val="22"/>
          <w:lang w:val="fr-BE"/>
        </w:rPr>
      </w:pPr>
      <w:r w:rsidRPr="000B0AA0">
        <w:rPr>
          <w:rFonts w:ascii="Calibri" w:eastAsia="Calibri" w:hAnsi="Calibri" w:cs="Times New Roman"/>
          <w:sz w:val="22"/>
          <w:lang w:val="fr-FR" w:bidi="fr-FR"/>
        </w:rPr>
        <w:t>Servico fournit des programmes pour aussi attribuer un code</w:t>
      </w:r>
      <w:r>
        <w:rPr>
          <w:rFonts w:ascii="Calibri" w:eastAsia="Calibri" w:hAnsi="Calibri" w:cs="Times New Roman"/>
          <w:sz w:val="22"/>
          <w:lang w:val="fr-FR" w:bidi="fr-FR"/>
        </w:rPr>
        <w:t xml:space="preserve"> client</w:t>
      </w:r>
      <w:r w:rsidRPr="000B0AA0">
        <w:rPr>
          <w:rFonts w:ascii="Calibri" w:eastAsia="Calibri" w:hAnsi="Calibri" w:cs="Times New Roman"/>
          <w:sz w:val="22"/>
          <w:lang w:val="fr-FR" w:bidi="fr-FR"/>
        </w:rPr>
        <w:t xml:space="preserve"> aux </w:t>
      </w:r>
      <w:r>
        <w:rPr>
          <w:rFonts w:ascii="Calibri" w:eastAsia="Calibri" w:hAnsi="Calibri" w:cs="Times New Roman"/>
          <w:sz w:val="22"/>
          <w:lang w:val="fr-FR" w:bidi="fr-FR"/>
        </w:rPr>
        <w:t>fournisseurs</w:t>
      </w:r>
      <w:r w:rsidRPr="000B0AA0">
        <w:rPr>
          <w:rFonts w:ascii="Calibri" w:eastAsia="Calibri" w:hAnsi="Calibri" w:cs="Times New Roman"/>
          <w:sz w:val="22"/>
          <w:lang w:val="fr-FR" w:bidi="fr-FR"/>
        </w:rPr>
        <w:t xml:space="preserve"> et remplir ce code dans le champ de la fiche client</w:t>
      </w:r>
      <w:r>
        <w:rPr>
          <w:rFonts w:ascii="Calibri" w:eastAsia="Calibri" w:hAnsi="Calibri" w:cs="Times New Roman"/>
          <w:sz w:val="22"/>
          <w:lang w:val="fr-FR" w:bidi="fr-FR"/>
        </w:rPr>
        <w:t>/fournisseur</w:t>
      </w:r>
      <w:r w:rsidRPr="000B0AA0">
        <w:rPr>
          <w:rFonts w:ascii="Calibri" w:eastAsia="Calibri" w:hAnsi="Calibri" w:cs="Times New Roman"/>
          <w:sz w:val="22"/>
          <w:lang w:val="fr-FR" w:bidi="fr-FR"/>
        </w:rPr>
        <w:t xml:space="preserve"> prévu à cet effet.</w:t>
      </w:r>
      <w:r w:rsidRPr="000B0AA0">
        <w:rPr>
          <w:rFonts w:ascii="Calibri" w:eastAsia="Calibri" w:hAnsi="Calibri" w:cs="Times New Roman"/>
          <w:sz w:val="22"/>
          <w:lang w:val="fr-FR" w:bidi="fr-FR"/>
        </w:rPr>
        <w:br/>
      </w:r>
      <w:r w:rsidR="00991092" w:rsidRPr="009D3C14">
        <w:rPr>
          <w:rFonts w:ascii="Calibri" w:eastAsia="Calibri" w:hAnsi="Calibri" w:cs="Times New Roman"/>
          <w:sz w:val="22"/>
          <w:lang w:val="fr-BE"/>
        </w:rPr>
        <w:br/>
        <w:t xml:space="preserve">  </w:t>
      </w:r>
    </w:p>
    <w:p w:rsidR="00B2059A" w:rsidRPr="00B2059A" w:rsidRDefault="00991092" w:rsidP="00B2059A">
      <w:pPr>
        <w:spacing w:after="160" w:line="259" w:lineRule="auto"/>
        <w:rPr>
          <w:rFonts w:ascii="Calibri" w:eastAsia="Calibri" w:hAnsi="Calibri" w:cs="Times New Roman"/>
          <w:b/>
          <w:bCs/>
          <w:sz w:val="22"/>
          <w:u w:val="single"/>
          <w:lang w:val="fr-BE"/>
        </w:rPr>
      </w:pPr>
      <w:r w:rsidRPr="00DD5FB0">
        <w:rPr>
          <w:rFonts w:ascii="Calibri" w:eastAsia="Calibri" w:hAnsi="Calibri" w:cs="Times New Roman"/>
          <w:b/>
          <w:bCs/>
          <w:sz w:val="28"/>
          <w:szCs w:val="28"/>
          <w:lang w:val="fr-BE"/>
        </w:rPr>
        <w:t>TO DO</w:t>
      </w:r>
      <w:r w:rsidR="00DD5FB0" w:rsidRPr="00DD5FB0">
        <w:rPr>
          <w:rFonts w:ascii="Calibri" w:eastAsia="Calibri" w:hAnsi="Calibri" w:cs="Times New Roman"/>
          <w:b/>
          <w:bCs/>
          <w:sz w:val="28"/>
          <w:szCs w:val="28"/>
          <w:lang w:val="fr-BE"/>
        </w:rPr>
        <w:t>’</w:t>
      </w:r>
      <w:r w:rsidRPr="00DD5FB0">
        <w:rPr>
          <w:rFonts w:ascii="Calibri" w:eastAsia="Calibri" w:hAnsi="Calibri" w:cs="Times New Roman"/>
          <w:b/>
          <w:bCs/>
          <w:sz w:val="28"/>
          <w:szCs w:val="28"/>
          <w:lang w:val="fr-BE"/>
        </w:rPr>
        <w:t xml:space="preserve">S </w:t>
      </w:r>
      <w:r w:rsidR="00DD5FB0" w:rsidRPr="00DD5FB0">
        <w:rPr>
          <w:rFonts w:ascii="Calibri" w:eastAsia="Calibri" w:hAnsi="Calibri" w:cs="Times New Roman"/>
          <w:b/>
          <w:bCs/>
          <w:sz w:val="28"/>
          <w:szCs w:val="28"/>
          <w:lang w:val="fr-BE"/>
        </w:rPr>
        <w:t>POUR l’intermédiaire/agence de voyages</w:t>
      </w:r>
      <w:r w:rsidRPr="00DD5FB0">
        <w:rPr>
          <w:rFonts w:ascii="Calibri" w:eastAsia="Calibri" w:hAnsi="Calibri" w:cs="Times New Roman"/>
          <w:b/>
          <w:bCs/>
          <w:sz w:val="28"/>
          <w:szCs w:val="28"/>
          <w:lang w:val="fr-BE"/>
        </w:rPr>
        <w:t xml:space="preserve">: </w:t>
      </w:r>
      <w:r w:rsidRPr="00DD5FB0">
        <w:rPr>
          <w:rFonts w:ascii="Calibri" w:eastAsia="Calibri" w:hAnsi="Calibri" w:cs="Times New Roman"/>
          <w:b/>
          <w:bCs/>
          <w:sz w:val="28"/>
          <w:szCs w:val="28"/>
          <w:lang w:val="fr-BE"/>
        </w:rPr>
        <w:br/>
      </w:r>
      <w:r w:rsidR="00B2059A" w:rsidRPr="00991092">
        <w:rPr>
          <w:rFonts w:ascii="Calibri" w:eastAsia="Calibri" w:hAnsi="Calibri" w:cs="Times New Roman"/>
          <w:b/>
          <w:sz w:val="22"/>
          <w:u w:val="single"/>
          <w:lang w:val="fr-FR" w:bidi="fr-FR"/>
        </w:rPr>
        <w:t>1.</w:t>
      </w:r>
      <w:r w:rsidR="00B2059A" w:rsidRPr="00991092">
        <w:rPr>
          <w:rFonts w:ascii="Calibri" w:eastAsia="Calibri" w:hAnsi="Calibri" w:cs="Times New Roman"/>
          <w:b/>
          <w:sz w:val="22"/>
          <w:u w:val="single"/>
          <w:lang w:val="fr-FR" w:bidi="fr-FR"/>
        </w:rPr>
        <w:tab/>
        <w:t xml:space="preserve">CRÉATION D’UN GRAND LIVRE DES COMPTES COMMISSIONS </w:t>
      </w:r>
    </w:p>
    <w:p w:rsidR="00B2059A" w:rsidRPr="00B2059A" w:rsidRDefault="00B2059A" w:rsidP="00B2059A">
      <w:pPr>
        <w:spacing w:after="160" w:line="259" w:lineRule="auto"/>
        <w:rPr>
          <w:rFonts w:ascii="Calibri" w:eastAsia="Calibri" w:hAnsi="Calibri" w:cs="Times New Roman"/>
          <w:b/>
          <w:bCs/>
          <w:sz w:val="22"/>
          <w:u w:val="single"/>
          <w:lang w:val="fr-BE"/>
        </w:rPr>
      </w:pPr>
      <w:r w:rsidRPr="00991092">
        <w:rPr>
          <w:rFonts w:ascii="Calibri" w:eastAsia="Calibri" w:hAnsi="Calibri" w:cs="Times New Roman"/>
          <w:sz w:val="22"/>
          <w:lang w:val="fr-FR" w:bidi="fr-FR"/>
        </w:rPr>
        <w:t xml:space="preserve">La commission doit être enregistrée dans un grand livre des comptes séparé. Ce compte doit être un compte de produits. Vous pouvez préciser dans les journaux de vente quel doit être le grand livre des comptes par défaut pour chaque journal. Ceci doit obligatoirement être mentionné, mais il peut s’agir du même grand livre des comptes pour plusieurs journaux. Veillez mentionner ce compte de produits dès la création des journaux supplémentaires ci-dessous.  </w:t>
      </w:r>
      <w:r w:rsidRPr="00B2059A">
        <w:rPr>
          <w:rFonts w:ascii="Calibri" w:eastAsia="Calibri" w:hAnsi="Calibri" w:cs="Times New Roman"/>
          <w:sz w:val="22"/>
          <w:lang w:val="fr-FR" w:bidi="fr-FR"/>
        </w:rPr>
        <w:t>S'il n'y a pas d'</w:t>
      </w:r>
      <w:r w:rsidR="0035724D">
        <w:rPr>
          <w:rFonts w:ascii="Calibri" w:eastAsia="Calibri" w:hAnsi="Calibri" w:cs="Times New Roman"/>
          <w:sz w:val="22"/>
          <w:lang w:val="fr-FR" w:bidi="fr-FR"/>
        </w:rPr>
        <w:t>Self-</w:t>
      </w:r>
      <w:proofErr w:type="spellStart"/>
      <w:r w:rsidR="0035724D">
        <w:rPr>
          <w:rFonts w:ascii="Calibri" w:eastAsia="Calibri" w:hAnsi="Calibri" w:cs="Times New Roman"/>
          <w:sz w:val="22"/>
          <w:lang w:val="fr-FR" w:bidi="fr-FR"/>
        </w:rPr>
        <w:t>billing</w:t>
      </w:r>
      <w:proofErr w:type="spellEnd"/>
      <w:r w:rsidRPr="00B2059A">
        <w:rPr>
          <w:rFonts w:ascii="Calibri" w:eastAsia="Calibri" w:hAnsi="Calibri" w:cs="Times New Roman"/>
          <w:sz w:val="22"/>
          <w:lang w:val="fr-FR" w:bidi="fr-FR"/>
        </w:rPr>
        <w:t>, c'est un compte qui est paramétré dans le journal de vente spécifique.  En cas d'</w:t>
      </w:r>
      <w:r w:rsidR="0035724D">
        <w:rPr>
          <w:rFonts w:ascii="Calibri" w:eastAsia="Calibri" w:hAnsi="Calibri" w:cs="Times New Roman"/>
          <w:sz w:val="22"/>
          <w:lang w:val="fr-FR" w:bidi="fr-FR"/>
        </w:rPr>
        <w:t>Self-</w:t>
      </w:r>
      <w:proofErr w:type="spellStart"/>
      <w:r w:rsidR="0035724D">
        <w:rPr>
          <w:rFonts w:ascii="Calibri" w:eastAsia="Calibri" w:hAnsi="Calibri" w:cs="Times New Roman"/>
          <w:sz w:val="22"/>
          <w:lang w:val="fr-FR" w:bidi="fr-FR"/>
        </w:rPr>
        <w:t>billing</w:t>
      </w:r>
      <w:proofErr w:type="spellEnd"/>
      <w:r w:rsidRPr="00B2059A">
        <w:rPr>
          <w:rFonts w:ascii="Calibri" w:eastAsia="Calibri" w:hAnsi="Calibri" w:cs="Times New Roman"/>
          <w:sz w:val="22"/>
          <w:lang w:val="fr-FR" w:bidi="fr-FR"/>
        </w:rPr>
        <w:t>, un compte de produits paramétré sur la fiche client peut être proposé.  S'il n'est pas connu, il sera également proposé à partir du journal de vente.</w:t>
      </w:r>
      <w:r w:rsidRPr="00991092">
        <w:rPr>
          <w:rFonts w:ascii="Calibri" w:eastAsia="Calibri" w:hAnsi="Calibri" w:cs="Times New Roman"/>
          <w:sz w:val="22"/>
          <w:lang w:val="fr-FR" w:bidi="fr-FR"/>
        </w:rPr>
        <w:t xml:space="preserve"> </w:t>
      </w:r>
      <w:r w:rsidRPr="00991092">
        <w:rPr>
          <w:rFonts w:ascii="Calibri" w:eastAsia="Calibri" w:hAnsi="Calibri" w:cs="Times New Roman"/>
          <w:sz w:val="22"/>
          <w:lang w:val="fr-FR" w:bidi="fr-FR"/>
        </w:rPr>
        <w:br/>
      </w:r>
      <w:r w:rsidRPr="00991092">
        <w:rPr>
          <w:rFonts w:ascii="Calibri" w:eastAsia="Calibri" w:hAnsi="Calibri" w:cs="Times New Roman"/>
          <w:sz w:val="22"/>
          <w:lang w:val="fr-FR" w:bidi="fr-FR"/>
        </w:rPr>
        <w:lastRenderedPageBreak/>
        <w:br/>
      </w:r>
      <w:r w:rsidRPr="00991092">
        <w:rPr>
          <w:rFonts w:ascii="Calibri" w:eastAsia="Calibri" w:hAnsi="Calibri" w:cs="Times New Roman"/>
          <w:sz w:val="22"/>
          <w:lang w:val="fr-FR" w:bidi="fr-FR"/>
        </w:rPr>
        <w:br/>
      </w:r>
    </w:p>
    <w:p w:rsidR="00B2059A" w:rsidRPr="00B2059A" w:rsidRDefault="00B2059A" w:rsidP="00B2059A">
      <w:pPr>
        <w:spacing w:after="160" w:line="259" w:lineRule="auto"/>
        <w:rPr>
          <w:rFonts w:ascii="Calibri" w:eastAsia="Calibri" w:hAnsi="Calibri" w:cs="Times New Roman"/>
          <w:b/>
          <w:bCs/>
          <w:sz w:val="22"/>
          <w:u w:val="single"/>
          <w:lang w:val="fr-BE"/>
        </w:rPr>
      </w:pPr>
      <w:r w:rsidRPr="00991092">
        <w:rPr>
          <w:rFonts w:ascii="Calibri" w:eastAsia="Calibri" w:hAnsi="Calibri" w:cs="Times New Roman"/>
          <w:b/>
          <w:sz w:val="22"/>
          <w:u w:val="single"/>
          <w:lang w:val="fr-FR" w:bidi="fr-FR"/>
        </w:rPr>
        <w:t>2.</w:t>
      </w:r>
      <w:r w:rsidRPr="00991092">
        <w:rPr>
          <w:rFonts w:ascii="Calibri" w:eastAsia="Calibri" w:hAnsi="Calibri" w:cs="Times New Roman"/>
          <w:b/>
          <w:sz w:val="22"/>
          <w:u w:val="single"/>
          <w:lang w:val="fr-FR" w:bidi="fr-FR"/>
        </w:rPr>
        <w:tab/>
        <w:t>CRÉATION D’UN COMPTE D'ATTENTE ET ATTRIBUTION</w:t>
      </w:r>
    </w:p>
    <w:p w:rsidR="00B2059A" w:rsidRPr="00B2059A" w:rsidRDefault="00B2059A" w:rsidP="00B2059A">
      <w:pPr>
        <w:spacing w:after="160" w:line="259" w:lineRule="auto"/>
        <w:rPr>
          <w:rFonts w:ascii="Calibri" w:eastAsia="Calibri" w:hAnsi="Calibri" w:cs="Times New Roman"/>
          <w:bCs/>
          <w:sz w:val="22"/>
          <w:lang w:val="fr-BE"/>
        </w:rPr>
      </w:pPr>
      <w:r w:rsidRPr="00991092">
        <w:rPr>
          <w:rFonts w:ascii="Calibri" w:eastAsia="Calibri" w:hAnsi="Calibri" w:cs="Times New Roman"/>
          <w:sz w:val="22"/>
          <w:lang w:val="fr-FR" w:bidi="fr-FR"/>
        </w:rPr>
        <w:t>Dans le cadre de la nouvelle réglementation, la revente ne peut plus être comptabilisée sur un compte de produits (compte 7). Sur différentes actions, les comptes de résultat doivent être modifiés en comptes d'attente. Vous devez d'abord créer ce(s) compte(s) d'attente dans le grand livre.</w:t>
      </w:r>
    </w:p>
    <w:p w:rsidR="00B2059A" w:rsidRPr="00991092" w:rsidRDefault="00B2059A" w:rsidP="00B2059A">
      <w:pPr>
        <w:spacing w:after="160" w:line="259" w:lineRule="auto"/>
        <w:rPr>
          <w:rFonts w:ascii="Calibri" w:eastAsia="Calibri" w:hAnsi="Calibri" w:cs="Times New Roman"/>
          <w:bCs/>
          <w:sz w:val="22"/>
          <w:lang w:val="nl-BE"/>
        </w:rPr>
      </w:pPr>
      <w:r w:rsidRPr="00991092">
        <w:rPr>
          <w:rFonts w:ascii="Calibri" w:eastAsia="Calibri" w:hAnsi="Calibri" w:cs="Times New Roman"/>
          <w:sz w:val="22"/>
          <w:lang w:val="fr-FR" w:bidi="fr-FR"/>
        </w:rPr>
        <w:t xml:space="preserve">Cette modification est nécessaire sur tous les comptes de résultat liés aux actions 'intermédiaire en voyages' et 'revente directe'. Via rapport </w:t>
      </w:r>
      <w:proofErr w:type="spellStart"/>
      <w:r w:rsidRPr="00991092">
        <w:rPr>
          <w:rFonts w:ascii="Calibri" w:eastAsia="Calibri" w:hAnsi="Calibri" w:cs="Times New Roman"/>
          <w:sz w:val="22"/>
          <w:lang w:val="fr-FR" w:bidi="fr-FR"/>
        </w:rPr>
        <w:t>SwingCount</w:t>
      </w:r>
      <w:proofErr w:type="spellEnd"/>
      <w:r w:rsidRPr="00991092">
        <w:rPr>
          <w:rFonts w:ascii="Calibri" w:eastAsia="Calibri" w:hAnsi="Calibri" w:cs="Times New Roman"/>
          <w:sz w:val="22"/>
          <w:lang w:val="fr-FR" w:bidi="fr-FR"/>
        </w:rPr>
        <w:t xml:space="preserve"> &gt; Fournisseurs &gt; Terme de produit &gt; Rapports, vous pouvez afficher où chaque compte est lié. Les commissions seront enregistrées sur des comptes, voir point 1.</w:t>
      </w:r>
    </w:p>
    <w:p w:rsidR="00B2059A" w:rsidRPr="00991092" w:rsidRDefault="00B2059A" w:rsidP="00B2059A">
      <w:pPr>
        <w:spacing w:after="160" w:line="259" w:lineRule="auto"/>
        <w:rPr>
          <w:rFonts w:ascii="Calibri" w:eastAsia="Calibri" w:hAnsi="Calibri" w:cs="Times New Roman"/>
          <w:bCs/>
          <w:sz w:val="22"/>
          <w:lang w:val="nl-BE"/>
        </w:rPr>
      </w:pPr>
      <w:r w:rsidRPr="00991092">
        <w:rPr>
          <w:rFonts w:ascii="Calibri" w:eastAsia="Calibri" w:hAnsi="Calibri" w:cs="Times New Roman"/>
          <w:noProof/>
          <w:sz w:val="22"/>
          <w:lang w:eastAsia="nl-NL"/>
        </w:rPr>
        <w:drawing>
          <wp:inline distT="0" distB="0" distL="0" distR="0" wp14:anchorId="79C0840A" wp14:editId="6996782E">
            <wp:extent cx="5941060" cy="1634490"/>
            <wp:effectExtent l="0" t="0" r="254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1060" cy="1634490"/>
                    </a:xfrm>
                    <a:prstGeom prst="rect">
                      <a:avLst/>
                    </a:prstGeom>
                  </pic:spPr>
                </pic:pic>
              </a:graphicData>
            </a:graphic>
          </wp:inline>
        </w:drawing>
      </w:r>
    </w:p>
    <w:p w:rsidR="00B2059A" w:rsidRPr="00B2059A" w:rsidRDefault="00B2059A" w:rsidP="00B2059A">
      <w:pPr>
        <w:spacing w:after="160" w:line="259" w:lineRule="auto"/>
        <w:rPr>
          <w:rFonts w:ascii="Calibri" w:eastAsia="Calibri" w:hAnsi="Calibri" w:cs="Times New Roman"/>
          <w:bCs/>
          <w:sz w:val="22"/>
          <w:lang w:val="fr-BE"/>
        </w:rPr>
      </w:pPr>
      <w:r w:rsidRPr="00991092">
        <w:rPr>
          <w:rFonts w:ascii="Calibri" w:eastAsia="Calibri" w:hAnsi="Calibri" w:cs="Times New Roman"/>
          <w:sz w:val="22"/>
          <w:lang w:val="fr-FR" w:bidi="fr-FR"/>
        </w:rPr>
        <w:t>Lorsque l'achat est enregistré, un numéro de compte est proposé pour les fournisseurs de voyages. Lorsque l'action est 'revente avec code d'identification', le numéro de compte suivant est proposé. Il doit s'agir du même compte d'attente qui est paramétré pour le Terme de produit où le chiffre d'affaires se retrouve, de manière à pouvoir les réconcilier entre eux. (TO CONFIRM)</w:t>
      </w:r>
    </w:p>
    <w:p w:rsidR="00B2059A" w:rsidRPr="00B2059A" w:rsidRDefault="00B2059A" w:rsidP="00B2059A">
      <w:pPr>
        <w:spacing w:after="160" w:line="259" w:lineRule="auto"/>
        <w:rPr>
          <w:rFonts w:ascii="Calibri" w:eastAsia="Calibri" w:hAnsi="Calibri" w:cs="Times New Roman"/>
          <w:b/>
          <w:bCs/>
          <w:sz w:val="22"/>
          <w:u w:val="single"/>
          <w:lang w:val="fr-BE"/>
        </w:rPr>
      </w:pPr>
      <w:r w:rsidRPr="00991092">
        <w:rPr>
          <w:rFonts w:ascii="Calibri" w:eastAsia="Calibri" w:hAnsi="Calibri" w:cs="Times New Roman"/>
          <w:b/>
          <w:sz w:val="22"/>
          <w:u w:val="single"/>
          <w:lang w:val="fr-FR" w:bidi="fr-FR"/>
        </w:rPr>
        <w:t>3.</w:t>
      </w:r>
      <w:r w:rsidRPr="00991092">
        <w:rPr>
          <w:rFonts w:ascii="Calibri" w:eastAsia="Calibri" w:hAnsi="Calibri" w:cs="Times New Roman"/>
          <w:b/>
          <w:sz w:val="22"/>
          <w:u w:val="single"/>
          <w:lang w:val="fr-FR" w:bidi="fr-FR"/>
        </w:rPr>
        <w:tab/>
        <w:t xml:space="preserve">CRÉATION DE 2 JOURNAUX DE VENTE POUR DES COMMISSIONS </w:t>
      </w:r>
    </w:p>
    <w:p w:rsidR="00B2059A" w:rsidRPr="00B2059A" w:rsidRDefault="00B2059A" w:rsidP="00B2059A">
      <w:pPr>
        <w:spacing w:after="160" w:line="259" w:lineRule="auto"/>
        <w:rPr>
          <w:rFonts w:ascii="Calibri" w:eastAsia="Calibri" w:hAnsi="Calibri" w:cs="Times New Roman"/>
          <w:sz w:val="22"/>
          <w:lang w:val="fr-BE"/>
        </w:rPr>
      </w:pPr>
      <w:r w:rsidRPr="00991092">
        <w:rPr>
          <w:rFonts w:ascii="Calibri" w:eastAsia="Calibri" w:hAnsi="Calibri" w:cs="Times New Roman"/>
          <w:sz w:val="22"/>
          <w:lang w:val="fr-FR" w:bidi="fr-FR"/>
        </w:rPr>
        <w:t>Si un acquéreur réserve un voyage chez l’organisateur par le biais d’un intermédiaire, deux scénarios sont possibles :</w:t>
      </w:r>
      <w:r w:rsidRPr="00991092">
        <w:rPr>
          <w:rFonts w:ascii="Calibri" w:eastAsia="Calibri" w:hAnsi="Calibri" w:cs="Times New Roman"/>
          <w:sz w:val="22"/>
          <w:lang w:val="fr-FR" w:bidi="fr-FR"/>
        </w:rPr>
        <w:br/>
        <w:t>A.</w:t>
      </w:r>
      <w:r w:rsidRPr="00991092">
        <w:rPr>
          <w:rFonts w:ascii="Calibri" w:eastAsia="Calibri" w:hAnsi="Calibri" w:cs="Times New Roman"/>
          <w:sz w:val="22"/>
          <w:lang w:val="fr-FR" w:bidi="fr-FR"/>
        </w:rPr>
        <w:tab/>
        <w:t xml:space="preserve">L'organisateur crée la facture de commission par </w:t>
      </w:r>
      <w:r w:rsidR="0035724D">
        <w:rPr>
          <w:rFonts w:ascii="Calibri" w:eastAsia="Calibri" w:hAnsi="Calibri" w:cs="Times New Roman"/>
          <w:sz w:val="22"/>
          <w:lang w:val="fr-FR" w:bidi="fr-FR"/>
        </w:rPr>
        <w:t>Self-</w:t>
      </w:r>
      <w:proofErr w:type="spellStart"/>
      <w:r w:rsidR="0035724D">
        <w:rPr>
          <w:rFonts w:ascii="Calibri" w:eastAsia="Calibri" w:hAnsi="Calibri" w:cs="Times New Roman"/>
          <w:sz w:val="22"/>
          <w:lang w:val="fr-FR" w:bidi="fr-FR"/>
        </w:rPr>
        <w:t>billing</w:t>
      </w:r>
      <w:proofErr w:type="spellEnd"/>
      <w:r w:rsidRPr="00991092">
        <w:rPr>
          <w:rFonts w:ascii="Calibri" w:eastAsia="Calibri" w:hAnsi="Calibri" w:cs="Times New Roman"/>
          <w:sz w:val="22"/>
          <w:lang w:val="fr-FR" w:bidi="fr-FR"/>
        </w:rPr>
        <w:t>.</w:t>
      </w:r>
    </w:p>
    <w:p w:rsidR="00B2059A" w:rsidRPr="00B2059A" w:rsidRDefault="00B2059A" w:rsidP="00B2059A">
      <w:pPr>
        <w:spacing w:after="160" w:line="259" w:lineRule="auto"/>
        <w:rPr>
          <w:rFonts w:ascii="Calibri" w:eastAsia="Calibri" w:hAnsi="Calibri" w:cs="Times New Roman"/>
          <w:sz w:val="22"/>
          <w:lang w:val="fr-BE"/>
        </w:rPr>
      </w:pPr>
      <w:r w:rsidRPr="00991092">
        <w:rPr>
          <w:rFonts w:ascii="Calibri" w:eastAsia="Calibri" w:hAnsi="Calibri" w:cs="Times New Roman"/>
          <w:sz w:val="22"/>
          <w:lang w:val="fr-FR" w:bidi="fr-FR"/>
        </w:rPr>
        <w:t>B.</w:t>
      </w:r>
      <w:r w:rsidRPr="00991092">
        <w:rPr>
          <w:rFonts w:ascii="Calibri" w:eastAsia="Calibri" w:hAnsi="Calibri" w:cs="Times New Roman"/>
          <w:sz w:val="22"/>
          <w:lang w:val="fr-FR" w:bidi="fr-FR"/>
        </w:rPr>
        <w:tab/>
        <w:t xml:space="preserve">L'intermédiaire crée la facture de commission et l'envoie à l'organisateur.  </w:t>
      </w:r>
    </w:p>
    <w:p w:rsidR="00B2059A" w:rsidRPr="00B2059A" w:rsidRDefault="00B2059A" w:rsidP="00B2059A">
      <w:pPr>
        <w:spacing w:after="160" w:line="259" w:lineRule="auto"/>
        <w:rPr>
          <w:rFonts w:ascii="Calibri" w:eastAsia="Calibri" w:hAnsi="Calibri" w:cs="Times New Roman"/>
          <w:sz w:val="22"/>
          <w:lang w:val="fr-BE"/>
        </w:rPr>
      </w:pPr>
      <w:r w:rsidRPr="00991092">
        <w:rPr>
          <w:rFonts w:ascii="Calibri" w:eastAsia="Calibri" w:hAnsi="Calibri" w:cs="Times New Roman"/>
          <w:sz w:val="22"/>
          <w:lang w:val="fr-FR" w:bidi="fr-FR"/>
        </w:rPr>
        <w:t>La loi prescrit que pour chacun de ces deux scénarios, l’enregistrement doit être réalisé dans un journal de vente séparé. Dans le scénario A, il s’agit d’un journal de vente manuel d’</w:t>
      </w:r>
      <w:r w:rsidR="0035724D">
        <w:rPr>
          <w:rFonts w:ascii="Calibri" w:eastAsia="Calibri" w:hAnsi="Calibri" w:cs="Times New Roman"/>
          <w:sz w:val="22"/>
          <w:lang w:val="fr-FR" w:bidi="fr-FR"/>
        </w:rPr>
        <w:t>Self-</w:t>
      </w:r>
      <w:proofErr w:type="spellStart"/>
      <w:r w:rsidR="0035724D">
        <w:rPr>
          <w:rFonts w:ascii="Calibri" w:eastAsia="Calibri" w:hAnsi="Calibri" w:cs="Times New Roman"/>
          <w:sz w:val="22"/>
          <w:lang w:val="fr-FR" w:bidi="fr-FR"/>
        </w:rPr>
        <w:t>billing</w:t>
      </w:r>
      <w:proofErr w:type="spellEnd"/>
      <w:r w:rsidRPr="00991092">
        <w:rPr>
          <w:rFonts w:ascii="Calibri" w:eastAsia="Calibri" w:hAnsi="Calibri" w:cs="Times New Roman"/>
          <w:sz w:val="22"/>
          <w:lang w:val="fr-FR" w:bidi="fr-FR"/>
        </w:rPr>
        <w:t xml:space="preserve"> dans lequel la facture de commission est importée. Dans le scénario B, il s’agit d’un journal de vente où vous facturez vous-même les commissions.</w:t>
      </w:r>
    </w:p>
    <w:p w:rsidR="009D3C14" w:rsidRDefault="00B2059A" w:rsidP="009D3C14">
      <w:pPr>
        <w:spacing w:after="160" w:line="252" w:lineRule="auto"/>
        <w:rPr>
          <w:rFonts w:ascii="Calibri" w:hAnsi="Calibri" w:cs="Calibri"/>
          <w:sz w:val="22"/>
          <w:lang w:val="fr-BE"/>
        </w:rPr>
      </w:pPr>
      <w:r w:rsidRPr="00991092">
        <w:rPr>
          <w:rFonts w:ascii="Calibri" w:eastAsia="Calibri" w:hAnsi="Calibri" w:cs="Times New Roman"/>
          <w:sz w:val="22"/>
          <w:lang w:val="fr-FR" w:bidi="fr-FR"/>
        </w:rPr>
        <w:t>Veuillez d’ores et déjà créer ces journaux et transmettre le grand livre des comptes par défaut : (</w:t>
      </w:r>
      <w:proofErr w:type="spellStart"/>
      <w:r w:rsidRPr="00991092">
        <w:rPr>
          <w:rFonts w:ascii="Calibri" w:eastAsia="Calibri" w:hAnsi="Calibri" w:cs="Times New Roman"/>
          <w:sz w:val="22"/>
          <w:lang w:val="fr-FR" w:bidi="fr-FR"/>
        </w:rPr>
        <w:t>SwingCount</w:t>
      </w:r>
      <w:proofErr w:type="spellEnd"/>
      <w:r w:rsidRPr="00991092">
        <w:rPr>
          <w:rFonts w:ascii="Calibri" w:eastAsia="Calibri" w:hAnsi="Calibri" w:cs="Times New Roman"/>
          <w:sz w:val="22"/>
          <w:lang w:val="fr-FR" w:bidi="fr-FR"/>
        </w:rPr>
        <w:t xml:space="preserve">- Initialisations – Journaux – Vente – Gestion) </w:t>
      </w:r>
      <w:r w:rsidRPr="00991092">
        <w:rPr>
          <w:rFonts w:ascii="Calibri" w:eastAsia="Calibri" w:hAnsi="Calibri" w:cs="Times New Roman"/>
          <w:sz w:val="22"/>
          <w:lang w:val="fr-FR" w:bidi="fr-FR"/>
        </w:rPr>
        <w:br/>
      </w:r>
      <w:r w:rsidR="009D3C14" w:rsidRPr="009D3C14">
        <w:rPr>
          <w:rFonts w:ascii="Calibri" w:hAnsi="Calibri" w:cs="Calibri"/>
          <w:sz w:val="22"/>
          <w:lang w:val="fr-BE"/>
        </w:rPr>
        <w:t>P</w:t>
      </w:r>
      <w:r w:rsidR="009D3C14">
        <w:rPr>
          <w:rFonts w:ascii="Calibri" w:hAnsi="Calibri" w:cs="Calibri"/>
          <w:sz w:val="22"/>
          <w:lang w:val="fr-BE"/>
        </w:rPr>
        <w:t xml:space="preserve">our le journal non </w:t>
      </w:r>
      <w:proofErr w:type="spellStart"/>
      <w:r w:rsidR="009D3C14">
        <w:rPr>
          <w:rFonts w:ascii="Calibri" w:hAnsi="Calibri" w:cs="Calibri"/>
          <w:sz w:val="22"/>
          <w:lang w:val="fr-BE"/>
        </w:rPr>
        <w:t>Selfbilling</w:t>
      </w:r>
      <w:proofErr w:type="spellEnd"/>
      <w:r w:rsidR="009D3C14" w:rsidRPr="009D3C14">
        <w:rPr>
          <w:rFonts w:ascii="Calibri" w:hAnsi="Calibri" w:cs="Calibri"/>
          <w:sz w:val="22"/>
          <w:lang w:val="fr-BE"/>
        </w:rPr>
        <w:t>:   (</w:t>
      </w:r>
      <w:r w:rsidR="009D3C14">
        <w:rPr>
          <w:rFonts w:ascii="Calibri" w:hAnsi="Calibri" w:cs="Calibri"/>
          <w:sz w:val="22"/>
          <w:lang w:val="fr-BE"/>
        </w:rPr>
        <w:t>intermédiaire envoie la facture de commission vers l’organisateur)</w:t>
      </w:r>
      <w:r w:rsidR="009D3C14" w:rsidRPr="009D3C14">
        <w:rPr>
          <w:rFonts w:ascii="Calibri" w:hAnsi="Calibri" w:cs="Calibri"/>
          <w:sz w:val="22"/>
          <w:lang w:val="fr-BE"/>
        </w:rPr>
        <w:t xml:space="preserve"> </w:t>
      </w:r>
    </w:p>
    <w:p w:rsidR="009D3C14" w:rsidRPr="00991092" w:rsidRDefault="009D3C14" w:rsidP="009D3C14">
      <w:pPr>
        <w:numPr>
          <w:ilvl w:val="0"/>
          <w:numId w:val="6"/>
        </w:numPr>
        <w:spacing w:after="160" w:line="259" w:lineRule="auto"/>
        <w:contextualSpacing/>
        <w:rPr>
          <w:rFonts w:ascii="Calibri" w:eastAsia="Calibri" w:hAnsi="Calibri" w:cs="Times New Roman"/>
          <w:sz w:val="22"/>
          <w:lang w:val="nl-BE"/>
        </w:rPr>
      </w:pPr>
      <w:r w:rsidRPr="00991092">
        <w:rPr>
          <w:rFonts w:ascii="Calibri" w:eastAsia="Calibri" w:hAnsi="Calibri" w:cs="Times New Roman"/>
          <w:sz w:val="22"/>
          <w:lang w:val="fr-FR" w:bidi="fr-FR"/>
        </w:rPr>
        <w:t>Cocher imprimer les factures</w:t>
      </w:r>
    </w:p>
    <w:p w:rsidR="009D3C14" w:rsidRPr="00B2059A" w:rsidRDefault="009D3C14" w:rsidP="009D3C14">
      <w:pPr>
        <w:numPr>
          <w:ilvl w:val="0"/>
          <w:numId w:val="6"/>
        </w:numPr>
        <w:spacing w:after="160" w:line="259" w:lineRule="auto"/>
        <w:contextualSpacing/>
        <w:rPr>
          <w:rFonts w:ascii="Calibri" w:eastAsia="Calibri" w:hAnsi="Calibri" w:cs="Times New Roman"/>
          <w:sz w:val="22"/>
          <w:lang w:val="fr-BE"/>
        </w:rPr>
      </w:pPr>
      <w:r w:rsidRPr="00991092">
        <w:rPr>
          <w:rFonts w:ascii="Calibri" w:eastAsia="Calibri" w:hAnsi="Calibri" w:cs="Times New Roman"/>
          <w:sz w:val="22"/>
          <w:lang w:val="fr-FR" w:bidi="fr-FR"/>
        </w:rPr>
        <w:t>Cocher imprimer année pour numéro de facture</w:t>
      </w:r>
    </w:p>
    <w:p w:rsidR="009D3C14" w:rsidRPr="009D3C14" w:rsidRDefault="009D3C14" w:rsidP="009D3C14">
      <w:pPr>
        <w:spacing w:line="252" w:lineRule="auto"/>
        <w:rPr>
          <w:rFonts w:ascii="Calibri" w:hAnsi="Calibri" w:cs="Calibri"/>
          <w:sz w:val="22"/>
          <w:lang w:val="fr-BE"/>
        </w:rPr>
      </w:pPr>
      <w:r w:rsidRPr="009D3C14">
        <w:rPr>
          <w:rFonts w:ascii="Calibri" w:hAnsi="Calibri" w:cs="Calibri"/>
          <w:sz w:val="22"/>
          <w:lang w:val="fr-BE"/>
        </w:rPr>
        <w:t xml:space="preserve">Pour le journal </w:t>
      </w:r>
      <w:proofErr w:type="spellStart"/>
      <w:r w:rsidRPr="009D3C14">
        <w:rPr>
          <w:rFonts w:ascii="Calibri" w:hAnsi="Calibri" w:cs="Calibri"/>
          <w:sz w:val="22"/>
          <w:lang w:val="fr-BE"/>
        </w:rPr>
        <w:t>Selfbilling</w:t>
      </w:r>
      <w:proofErr w:type="spellEnd"/>
      <w:r w:rsidRPr="009D3C14">
        <w:rPr>
          <w:rFonts w:ascii="Calibri" w:hAnsi="Calibri" w:cs="Calibri"/>
          <w:sz w:val="22"/>
          <w:lang w:val="fr-BE"/>
        </w:rPr>
        <w:t xml:space="preserve"> </w:t>
      </w:r>
      <w:r w:rsidRPr="009D3C14">
        <w:rPr>
          <w:rFonts w:ascii="Calibri" w:hAnsi="Calibri" w:cs="Calibri"/>
          <w:sz w:val="22"/>
          <w:lang w:val="fr-BE"/>
        </w:rPr>
        <w:t>(</w:t>
      </w:r>
      <w:r w:rsidRPr="009D3C14">
        <w:rPr>
          <w:rFonts w:ascii="Calibri" w:hAnsi="Calibri" w:cs="Calibri"/>
          <w:sz w:val="22"/>
          <w:lang w:val="fr-BE"/>
        </w:rPr>
        <w:t>intermédiaire re</w:t>
      </w:r>
      <w:r>
        <w:rPr>
          <w:rFonts w:ascii="Calibri" w:hAnsi="Calibri" w:cs="Calibri"/>
          <w:sz w:val="22"/>
          <w:lang w:val="fr-BE"/>
        </w:rPr>
        <w:t>ç</w:t>
      </w:r>
      <w:r w:rsidRPr="009D3C14">
        <w:rPr>
          <w:rFonts w:ascii="Calibri" w:hAnsi="Calibri" w:cs="Calibri"/>
          <w:sz w:val="22"/>
          <w:lang w:val="fr-BE"/>
        </w:rPr>
        <w:t>oit la facture de commission de l’organisateur</w:t>
      </w:r>
      <w:r w:rsidRPr="009D3C14">
        <w:rPr>
          <w:rFonts w:ascii="Calibri" w:hAnsi="Calibri" w:cs="Calibri"/>
          <w:sz w:val="22"/>
          <w:lang w:val="fr-BE"/>
        </w:rPr>
        <w:t>)</w:t>
      </w:r>
    </w:p>
    <w:p w:rsidR="009D3C14" w:rsidRPr="00991092" w:rsidRDefault="009D3C14" w:rsidP="009D3C14">
      <w:pPr>
        <w:numPr>
          <w:ilvl w:val="0"/>
          <w:numId w:val="8"/>
        </w:numPr>
        <w:spacing w:after="160" w:line="259" w:lineRule="auto"/>
        <w:contextualSpacing/>
        <w:rPr>
          <w:rFonts w:ascii="Calibri" w:eastAsia="Calibri" w:hAnsi="Calibri" w:cs="Times New Roman"/>
          <w:sz w:val="22"/>
          <w:lang w:val="nl-BE"/>
        </w:rPr>
      </w:pPr>
      <w:r w:rsidRPr="00991092">
        <w:rPr>
          <w:rFonts w:ascii="Calibri" w:eastAsia="Calibri" w:hAnsi="Calibri" w:cs="Times New Roman"/>
          <w:sz w:val="22"/>
          <w:lang w:val="fr-FR" w:bidi="fr-FR"/>
        </w:rPr>
        <w:t xml:space="preserve">Indiquer import </w:t>
      </w:r>
      <w:proofErr w:type="spellStart"/>
      <w:r w:rsidRPr="00991092">
        <w:rPr>
          <w:rFonts w:ascii="Calibri" w:eastAsia="Calibri" w:hAnsi="Calibri" w:cs="Times New Roman"/>
          <w:sz w:val="22"/>
          <w:lang w:val="fr-FR" w:bidi="fr-FR"/>
        </w:rPr>
        <w:t>xml</w:t>
      </w:r>
      <w:proofErr w:type="spellEnd"/>
    </w:p>
    <w:p w:rsidR="009D3C14" w:rsidRDefault="009D3C14" w:rsidP="009D3C14">
      <w:pPr>
        <w:numPr>
          <w:ilvl w:val="0"/>
          <w:numId w:val="8"/>
        </w:numPr>
        <w:spacing w:line="252" w:lineRule="auto"/>
        <w:rPr>
          <w:rFonts w:ascii="Calibri" w:eastAsia="Times New Roman" w:hAnsi="Calibri" w:cs="Calibri"/>
          <w:sz w:val="22"/>
          <w:lang w:val="nl-BE"/>
        </w:rPr>
      </w:pPr>
      <w:proofErr w:type="spellStart"/>
      <w:r>
        <w:rPr>
          <w:rFonts w:ascii="Calibri" w:eastAsia="Times New Roman" w:hAnsi="Calibri" w:cs="Calibri"/>
          <w:sz w:val="22"/>
          <w:lang w:val="nl-BE"/>
        </w:rPr>
        <w:t>Décocher</w:t>
      </w:r>
      <w:proofErr w:type="spellEnd"/>
      <w:r>
        <w:rPr>
          <w:rFonts w:ascii="Calibri" w:eastAsia="Times New Roman" w:hAnsi="Calibri" w:cs="Calibri"/>
          <w:sz w:val="22"/>
          <w:lang w:val="nl-BE"/>
        </w:rPr>
        <w:t xml:space="preserve"> </w:t>
      </w:r>
      <w:proofErr w:type="spellStart"/>
      <w:r>
        <w:rPr>
          <w:rFonts w:ascii="Calibri" w:eastAsia="Times New Roman" w:hAnsi="Calibri" w:cs="Calibri"/>
          <w:sz w:val="22"/>
          <w:lang w:val="nl-BE"/>
        </w:rPr>
        <w:t>imprimer</w:t>
      </w:r>
      <w:proofErr w:type="spellEnd"/>
      <w:r>
        <w:rPr>
          <w:rFonts w:ascii="Calibri" w:eastAsia="Times New Roman" w:hAnsi="Calibri" w:cs="Calibri"/>
          <w:sz w:val="22"/>
          <w:lang w:val="nl-BE"/>
        </w:rPr>
        <w:t xml:space="preserve"> </w:t>
      </w:r>
      <w:proofErr w:type="spellStart"/>
      <w:r>
        <w:rPr>
          <w:rFonts w:ascii="Calibri" w:eastAsia="Times New Roman" w:hAnsi="Calibri" w:cs="Calibri"/>
          <w:sz w:val="22"/>
          <w:lang w:val="nl-BE"/>
        </w:rPr>
        <w:t>factures</w:t>
      </w:r>
      <w:proofErr w:type="spellEnd"/>
    </w:p>
    <w:p w:rsidR="009D3C14" w:rsidRDefault="009D3C14" w:rsidP="009D3C14">
      <w:pPr>
        <w:numPr>
          <w:ilvl w:val="0"/>
          <w:numId w:val="8"/>
        </w:numPr>
        <w:spacing w:line="252" w:lineRule="auto"/>
        <w:rPr>
          <w:rFonts w:ascii="Calibri" w:eastAsia="Times New Roman" w:hAnsi="Calibri" w:cs="Calibri"/>
          <w:sz w:val="22"/>
          <w:lang w:val="nl-BE"/>
        </w:rPr>
      </w:pPr>
      <w:proofErr w:type="spellStart"/>
      <w:r>
        <w:rPr>
          <w:rFonts w:ascii="Calibri" w:eastAsia="Times New Roman" w:hAnsi="Calibri" w:cs="Calibri"/>
          <w:sz w:val="22"/>
          <w:lang w:val="nl-BE"/>
        </w:rPr>
        <w:t>Décocher</w:t>
      </w:r>
      <w:proofErr w:type="spellEnd"/>
      <w:r>
        <w:rPr>
          <w:rFonts w:ascii="Calibri" w:eastAsia="Times New Roman" w:hAnsi="Calibri" w:cs="Calibri"/>
          <w:sz w:val="22"/>
          <w:lang w:val="nl-BE"/>
        </w:rPr>
        <w:t xml:space="preserve"> </w:t>
      </w:r>
      <w:proofErr w:type="spellStart"/>
      <w:r>
        <w:rPr>
          <w:rFonts w:ascii="Calibri" w:eastAsia="Times New Roman" w:hAnsi="Calibri" w:cs="Calibri"/>
          <w:sz w:val="22"/>
          <w:lang w:val="nl-BE"/>
        </w:rPr>
        <w:t>l’année</w:t>
      </w:r>
      <w:proofErr w:type="spellEnd"/>
      <w:r>
        <w:rPr>
          <w:rFonts w:ascii="Calibri" w:eastAsia="Times New Roman" w:hAnsi="Calibri" w:cs="Calibri"/>
          <w:sz w:val="22"/>
          <w:lang w:val="nl-BE"/>
        </w:rPr>
        <w:t xml:space="preserve"> pour </w:t>
      </w:r>
      <w:proofErr w:type="spellStart"/>
      <w:r>
        <w:rPr>
          <w:rFonts w:ascii="Calibri" w:eastAsia="Times New Roman" w:hAnsi="Calibri" w:cs="Calibri"/>
          <w:sz w:val="22"/>
          <w:lang w:val="nl-BE"/>
        </w:rPr>
        <w:t>facture</w:t>
      </w:r>
      <w:proofErr w:type="spellEnd"/>
    </w:p>
    <w:p w:rsidR="00B2059A" w:rsidRPr="009D3C14" w:rsidRDefault="00B2059A" w:rsidP="00B2059A">
      <w:pPr>
        <w:spacing w:after="160" w:line="259" w:lineRule="auto"/>
        <w:rPr>
          <w:rFonts w:ascii="Calibri" w:eastAsia="Calibri" w:hAnsi="Calibri" w:cs="Times New Roman"/>
          <w:sz w:val="22"/>
        </w:rPr>
      </w:pPr>
    </w:p>
    <w:p w:rsidR="009D3C14" w:rsidRDefault="009D3C14" w:rsidP="00B2059A">
      <w:pPr>
        <w:spacing w:after="160" w:line="259" w:lineRule="auto"/>
        <w:rPr>
          <w:rFonts w:ascii="Calibri" w:eastAsia="Calibri" w:hAnsi="Calibri" w:cs="Times New Roman"/>
          <w:sz w:val="22"/>
          <w:lang w:val="fr-FR" w:bidi="fr-FR"/>
        </w:rPr>
      </w:pPr>
    </w:p>
    <w:p w:rsidR="00B2059A" w:rsidRPr="00991092" w:rsidRDefault="00B2059A" w:rsidP="00B2059A">
      <w:pPr>
        <w:spacing w:after="160" w:line="259" w:lineRule="auto"/>
        <w:rPr>
          <w:rFonts w:ascii="Calibri" w:eastAsia="Calibri" w:hAnsi="Calibri" w:cs="Times New Roman"/>
          <w:sz w:val="22"/>
          <w:lang w:val="nl-BE"/>
        </w:rPr>
      </w:pPr>
      <w:r w:rsidRPr="00991092">
        <w:rPr>
          <w:rFonts w:ascii="Calibri" w:eastAsia="Calibri" w:hAnsi="Calibri" w:cs="Times New Roman"/>
          <w:noProof/>
          <w:sz w:val="22"/>
          <w:lang w:eastAsia="nl-NL"/>
        </w:rPr>
        <w:drawing>
          <wp:inline distT="0" distB="0" distL="0" distR="0" wp14:anchorId="4C8D62FD" wp14:editId="671B5B6D">
            <wp:extent cx="5941060" cy="295338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1060" cy="2953385"/>
                    </a:xfrm>
                    <a:prstGeom prst="rect">
                      <a:avLst/>
                    </a:prstGeom>
                  </pic:spPr>
                </pic:pic>
              </a:graphicData>
            </a:graphic>
          </wp:inline>
        </w:drawing>
      </w:r>
    </w:p>
    <w:p w:rsidR="00B2059A" w:rsidRPr="00991092" w:rsidRDefault="00B2059A" w:rsidP="00B2059A">
      <w:pPr>
        <w:spacing w:after="160" w:line="259" w:lineRule="auto"/>
        <w:rPr>
          <w:rFonts w:ascii="Calibri" w:eastAsia="Calibri" w:hAnsi="Calibri" w:cs="Times New Roman"/>
          <w:sz w:val="22"/>
          <w:lang w:val="nl-BE"/>
        </w:rPr>
      </w:pPr>
    </w:p>
    <w:p w:rsidR="00B2059A" w:rsidRPr="00B2059A" w:rsidRDefault="00B2059A" w:rsidP="00B2059A">
      <w:pPr>
        <w:spacing w:after="160" w:line="259" w:lineRule="auto"/>
        <w:rPr>
          <w:rFonts w:ascii="Calibri" w:eastAsia="Calibri" w:hAnsi="Calibri" w:cs="Times New Roman"/>
          <w:b/>
          <w:bCs/>
          <w:sz w:val="22"/>
          <w:u w:val="single"/>
          <w:lang w:val="fr-BE"/>
        </w:rPr>
      </w:pPr>
      <w:r w:rsidRPr="00991092">
        <w:rPr>
          <w:rFonts w:ascii="Calibri" w:eastAsia="Calibri" w:hAnsi="Calibri" w:cs="Times New Roman"/>
          <w:b/>
          <w:sz w:val="22"/>
          <w:u w:val="single"/>
          <w:lang w:val="fr-FR" w:bidi="fr-FR"/>
        </w:rPr>
        <w:t>3.</w:t>
      </w:r>
      <w:r w:rsidRPr="00991092">
        <w:rPr>
          <w:rFonts w:ascii="Calibri" w:eastAsia="Calibri" w:hAnsi="Calibri" w:cs="Times New Roman"/>
          <w:b/>
          <w:sz w:val="22"/>
          <w:u w:val="single"/>
          <w:lang w:val="fr-FR" w:bidi="fr-FR"/>
        </w:rPr>
        <w:tab/>
        <w:t>CRÉATION JOURNAL POSTES DIVERS</w:t>
      </w:r>
    </w:p>
    <w:p w:rsidR="00B2059A" w:rsidRPr="00B2059A" w:rsidRDefault="00B2059A" w:rsidP="00B2059A">
      <w:pPr>
        <w:spacing w:after="160" w:line="259" w:lineRule="auto"/>
        <w:rPr>
          <w:rFonts w:ascii="Calibri" w:eastAsia="Calibri" w:hAnsi="Calibri" w:cs="Times New Roman"/>
          <w:sz w:val="22"/>
          <w:lang w:val="fr-BE"/>
        </w:rPr>
      </w:pPr>
      <w:r w:rsidRPr="00991092">
        <w:rPr>
          <w:rFonts w:ascii="Calibri" w:eastAsia="Calibri" w:hAnsi="Calibri" w:cs="Times New Roman"/>
          <w:sz w:val="22"/>
          <w:lang w:val="fr-FR" w:bidi="fr-FR"/>
        </w:rPr>
        <w:t xml:space="preserve">Si vous travaillez par code d’identification et </w:t>
      </w:r>
      <w:r w:rsidR="0035724D">
        <w:rPr>
          <w:rFonts w:ascii="Calibri" w:eastAsia="Calibri" w:hAnsi="Calibri" w:cs="Times New Roman"/>
          <w:sz w:val="22"/>
          <w:lang w:val="fr-FR" w:bidi="fr-FR"/>
        </w:rPr>
        <w:t>Self-</w:t>
      </w:r>
      <w:proofErr w:type="spellStart"/>
      <w:r w:rsidR="0035724D">
        <w:rPr>
          <w:rFonts w:ascii="Calibri" w:eastAsia="Calibri" w:hAnsi="Calibri" w:cs="Times New Roman"/>
          <w:sz w:val="22"/>
          <w:lang w:val="fr-FR" w:bidi="fr-FR"/>
        </w:rPr>
        <w:t>billing</w:t>
      </w:r>
      <w:proofErr w:type="spellEnd"/>
      <w:r w:rsidRPr="00991092">
        <w:rPr>
          <w:rFonts w:ascii="Calibri" w:eastAsia="Calibri" w:hAnsi="Calibri" w:cs="Times New Roman"/>
          <w:sz w:val="22"/>
          <w:lang w:val="fr-FR" w:bidi="fr-FR"/>
        </w:rPr>
        <w:t>, la facture pour le montant brut sera établie par l'organisateur et enregistrée dans un achat sur un compte d'attente au nom du créancier et inscrite dans un JOURNAL D'ACHAT.  La facture de commission est établie au nom du débiteur et enregistrée dans un journal de vente.  Pour pouvoir traiter les deux ensemble, nous transférons la commission du débiteur au créancier afin qu’elle puisse être réconciliée sur la facture. Ces transferts doivent être enregistrés dans un journal postes divers séparé. Veuillez créer un journal à cet effet. (analogue au journal de vente ci-dessus)</w:t>
      </w:r>
    </w:p>
    <w:p w:rsidR="00B2059A" w:rsidRPr="00B2059A" w:rsidRDefault="00B2059A" w:rsidP="00B2059A">
      <w:pPr>
        <w:spacing w:after="160" w:line="259" w:lineRule="auto"/>
        <w:rPr>
          <w:rFonts w:ascii="Calibri" w:eastAsia="Calibri" w:hAnsi="Calibri" w:cs="Times New Roman"/>
          <w:b/>
          <w:bCs/>
          <w:sz w:val="22"/>
          <w:u w:val="single"/>
          <w:lang w:val="fr-BE"/>
        </w:rPr>
      </w:pPr>
    </w:p>
    <w:p w:rsidR="00B2059A" w:rsidRPr="00B2059A" w:rsidRDefault="00B2059A" w:rsidP="00B2059A">
      <w:pPr>
        <w:spacing w:after="160" w:line="259" w:lineRule="auto"/>
        <w:rPr>
          <w:rFonts w:ascii="Calibri" w:eastAsia="Calibri" w:hAnsi="Calibri" w:cs="Times New Roman"/>
          <w:b/>
          <w:bCs/>
          <w:sz w:val="22"/>
          <w:u w:val="single"/>
          <w:lang w:val="fr-BE"/>
        </w:rPr>
      </w:pPr>
      <w:r w:rsidRPr="00991092">
        <w:rPr>
          <w:rFonts w:ascii="Calibri" w:eastAsia="Calibri" w:hAnsi="Calibri" w:cs="Times New Roman"/>
          <w:b/>
          <w:sz w:val="22"/>
          <w:u w:val="single"/>
          <w:lang w:val="fr-FR" w:bidi="fr-FR"/>
        </w:rPr>
        <w:t>4.</w:t>
      </w:r>
      <w:r w:rsidRPr="00991092">
        <w:rPr>
          <w:rFonts w:ascii="Calibri" w:eastAsia="Calibri" w:hAnsi="Calibri" w:cs="Times New Roman"/>
          <w:b/>
          <w:sz w:val="22"/>
          <w:u w:val="single"/>
          <w:lang w:val="fr-FR" w:bidi="fr-FR"/>
        </w:rPr>
        <w:tab/>
        <w:t>NETTOYAGE/ADAPTATIONS dans les FICHIERS CLIENTS</w:t>
      </w:r>
    </w:p>
    <w:p w:rsidR="00B2059A" w:rsidRPr="00B2059A" w:rsidRDefault="00B2059A" w:rsidP="00B2059A">
      <w:pPr>
        <w:spacing w:after="160" w:line="259" w:lineRule="auto"/>
        <w:rPr>
          <w:rFonts w:ascii="Calibri" w:eastAsia="Calibri" w:hAnsi="Calibri" w:cs="Times New Roman"/>
          <w:sz w:val="22"/>
          <w:lang w:val="fr-BE"/>
        </w:rPr>
      </w:pPr>
      <w:r w:rsidRPr="00991092">
        <w:rPr>
          <w:rFonts w:ascii="Calibri" w:eastAsia="Calibri" w:hAnsi="Calibri" w:cs="Times New Roman"/>
          <w:sz w:val="22"/>
          <w:lang w:val="fr-FR" w:bidi="fr-FR"/>
        </w:rPr>
        <w:t xml:space="preserve">L’objectif de cette étape est de </w:t>
      </w:r>
      <w:r w:rsidRPr="00991092">
        <w:rPr>
          <w:rFonts w:ascii="Calibri" w:eastAsia="Calibri" w:hAnsi="Calibri" w:cs="Times New Roman"/>
          <w:b/>
          <w:sz w:val="22"/>
          <w:lang w:val="fr-FR" w:bidi="fr-FR"/>
        </w:rPr>
        <w:t>préparer les fiches fournisseurs</w:t>
      </w:r>
      <w:r w:rsidRPr="00991092">
        <w:rPr>
          <w:rFonts w:ascii="Calibri" w:eastAsia="Calibri" w:hAnsi="Calibri" w:cs="Times New Roman"/>
          <w:sz w:val="22"/>
          <w:lang w:val="fr-FR" w:bidi="fr-FR"/>
        </w:rPr>
        <w:t xml:space="preserve"> de manière à pouvoir leur associer des codes clients si nécessaire.  </w:t>
      </w:r>
    </w:p>
    <w:p w:rsidR="00B2059A" w:rsidRPr="00991092" w:rsidRDefault="00B2059A" w:rsidP="00B2059A">
      <w:pPr>
        <w:numPr>
          <w:ilvl w:val="0"/>
          <w:numId w:val="7"/>
        </w:numPr>
        <w:spacing w:after="160" w:line="259" w:lineRule="auto"/>
        <w:contextualSpacing/>
        <w:rPr>
          <w:rFonts w:ascii="Calibri" w:eastAsia="Calibri" w:hAnsi="Calibri" w:cs="Times New Roman"/>
          <w:sz w:val="22"/>
          <w:lang w:val="nl-BE"/>
        </w:rPr>
      </w:pPr>
      <w:r w:rsidRPr="00991092">
        <w:rPr>
          <w:rFonts w:ascii="Calibri" w:eastAsia="Calibri" w:hAnsi="Calibri" w:cs="Times New Roman"/>
          <w:sz w:val="22"/>
          <w:lang w:val="fr-FR" w:bidi="fr-FR"/>
        </w:rPr>
        <w:t xml:space="preserve">Pour les fournisseurs de voyages </w:t>
      </w:r>
    </w:p>
    <w:p w:rsidR="00B2059A" w:rsidRPr="00991092" w:rsidRDefault="00B2059A" w:rsidP="00B2059A">
      <w:pPr>
        <w:spacing w:after="160" w:line="259" w:lineRule="auto"/>
        <w:ind w:left="1065"/>
        <w:contextualSpacing/>
        <w:rPr>
          <w:rFonts w:ascii="Calibri" w:eastAsia="Calibri" w:hAnsi="Calibri" w:cs="Times New Roman"/>
          <w:sz w:val="22"/>
          <w:lang w:val="nl-BE"/>
        </w:rPr>
      </w:pPr>
      <w:r w:rsidRPr="00991092">
        <w:rPr>
          <w:rFonts w:ascii="Calibri" w:eastAsia="Calibri" w:hAnsi="Calibri" w:cs="Times New Roman"/>
          <w:noProof/>
          <w:sz w:val="22"/>
          <w:lang w:eastAsia="nl-NL"/>
        </w:rPr>
        <w:drawing>
          <wp:inline distT="0" distB="0" distL="0" distR="0" wp14:anchorId="1F8F446F" wp14:editId="56411603">
            <wp:extent cx="5941060" cy="740410"/>
            <wp:effectExtent l="0" t="0" r="254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1060" cy="740410"/>
                    </a:xfrm>
                    <a:prstGeom prst="rect">
                      <a:avLst/>
                    </a:prstGeom>
                  </pic:spPr>
                </pic:pic>
              </a:graphicData>
            </a:graphic>
          </wp:inline>
        </w:drawing>
      </w:r>
    </w:p>
    <w:p w:rsidR="00B2059A" w:rsidRPr="00B2059A" w:rsidRDefault="00B2059A" w:rsidP="00B2059A">
      <w:pPr>
        <w:numPr>
          <w:ilvl w:val="0"/>
          <w:numId w:val="7"/>
        </w:numPr>
        <w:spacing w:after="160" w:line="259" w:lineRule="auto"/>
        <w:contextualSpacing/>
        <w:rPr>
          <w:rFonts w:ascii="Calibri" w:eastAsia="Calibri" w:hAnsi="Calibri" w:cs="Times New Roman"/>
          <w:sz w:val="22"/>
          <w:lang w:val="fr-BE"/>
        </w:rPr>
      </w:pPr>
      <w:r w:rsidRPr="00991092">
        <w:rPr>
          <w:rFonts w:ascii="Calibri" w:eastAsia="Calibri" w:hAnsi="Calibri" w:cs="Times New Roman"/>
          <w:sz w:val="22"/>
          <w:lang w:val="fr-FR" w:bidi="fr-FR"/>
        </w:rPr>
        <w:t>Mettre tous les fournisseurs qui ne sont plus actifs sur STOP ou INACTIF afin de ne pas créer de codes clients pour eux inutilement.</w:t>
      </w:r>
    </w:p>
    <w:p w:rsidR="00B2059A" w:rsidRPr="00B2059A" w:rsidRDefault="00B2059A" w:rsidP="00B2059A">
      <w:pPr>
        <w:numPr>
          <w:ilvl w:val="0"/>
          <w:numId w:val="7"/>
        </w:numPr>
        <w:spacing w:after="160" w:line="259" w:lineRule="auto"/>
        <w:contextualSpacing/>
        <w:rPr>
          <w:rFonts w:ascii="Calibri" w:eastAsia="Calibri" w:hAnsi="Calibri" w:cs="Times New Roman"/>
          <w:sz w:val="22"/>
          <w:lang w:val="fr-BE"/>
        </w:rPr>
      </w:pPr>
      <w:r w:rsidRPr="00991092">
        <w:rPr>
          <w:rFonts w:ascii="Calibri" w:eastAsia="Calibri" w:hAnsi="Calibri" w:cs="Times New Roman"/>
          <w:sz w:val="22"/>
          <w:lang w:val="fr-FR" w:bidi="fr-FR"/>
        </w:rPr>
        <w:t xml:space="preserve">Pour les fournisseurs encore actifs </w:t>
      </w:r>
      <w:r w:rsidRPr="00991092">
        <w:rPr>
          <w:rFonts w:ascii="Calibri" w:eastAsia="Calibri" w:hAnsi="Calibri" w:cs="Times New Roman"/>
          <w:b/>
          <w:sz w:val="22"/>
          <w:lang w:val="fr-FR" w:bidi="fr-FR"/>
        </w:rPr>
        <w:t>qui travailleront via ‘revente directe’ ou ‘revente avec code d'identification’</w:t>
      </w:r>
      <w:r w:rsidRPr="00991092">
        <w:rPr>
          <w:rFonts w:ascii="Calibri" w:eastAsia="Calibri" w:hAnsi="Calibri" w:cs="Times New Roman"/>
          <w:sz w:val="22"/>
          <w:lang w:val="fr-FR" w:bidi="fr-FR"/>
        </w:rPr>
        <w:t>, vous devez créer et lier un nouveau code client.</w:t>
      </w:r>
    </w:p>
    <w:p w:rsidR="00B2059A" w:rsidRPr="00991092" w:rsidRDefault="00B2059A" w:rsidP="00B2059A">
      <w:pPr>
        <w:spacing w:after="160" w:line="259" w:lineRule="auto"/>
        <w:ind w:left="1065"/>
        <w:contextualSpacing/>
        <w:rPr>
          <w:rFonts w:ascii="Calibri" w:eastAsia="Calibri" w:hAnsi="Calibri" w:cs="Times New Roman"/>
          <w:sz w:val="22"/>
          <w:lang w:val="nl-BE"/>
        </w:rPr>
      </w:pPr>
      <w:r w:rsidRPr="00991092">
        <w:rPr>
          <w:rFonts w:ascii="Calibri" w:eastAsia="Calibri" w:hAnsi="Calibri" w:cs="Times New Roman"/>
          <w:sz w:val="22"/>
          <w:lang w:val="fr-FR" w:bidi="fr-FR"/>
        </w:rPr>
        <w:sym w:font="Wingdings" w:char="F0E0"/>
      </w:r>
      <w:r w:rsidRPr="00991092">
        <w:rPr>
          <w:rFonts w:ascii="Calibri" w:eastAsia="Calibri" w:hAnsi="Calibri" w:cs="Times New Roman"/>
          <w:sz w:val="22"/>
          <w:lang w:val="fr-FR" w:bidi="fr-FR"/>
        </w:rPr>
        <w:t xml:space="preserve"> Description TODO ?</w:t>
      </w:r>
    </w:p>
    <w:p w:rsidR="00B2059A" w:rsidRPr="0035724D" w:rsidRDefault="00B2059A" w:rsidP="00B2059A">
      <w:pPr>
        <w:numPr>
          <w:ilvl w:val="0"/>
          <w:numId w:val="7"/>
        </w:numPr>
        <w:spacing w:after="160" w:line="259" w:lineRule="auto"/>
        <w:contextualSpacing/>
        <w:rPr>
          <w:rFonts w:ascii="Calibri" w:eastAsia="Calibri" w:hAnsi="Calibri" w:cs="Times New Roman"/>
          <w:b/>
          <w:bCs/>
          <w:sz w:val="22"/>
          <w:lang w:val="fr-BE"/>
        </w:rPr>
      </w:pPr>
      <w:r w:rsidRPr="00991092">
        <w:rPr>
          <w:rFonts w:ascii="Calibri" w:eastAsia="Calibri" w:hAnsi="Calibri" w:cs="Times New Roman"/>
          <w:b/>
          <w:sz w:val="22"/>
          <w:lang w:val="fr-FR" w:bidi="fr-FR"/>
        </w:rPr>
        <w:t>L’organisateur fait de l’</w:t>
      </w:r>
      <w:r w:rsidR="0035724D">
        <w:rPr>
          <w:rFonts w:ascii="Calibri" w:eastAsia="Calibri" w:hAnsi="Calibri" w:cs="Times New Roman"/>
          <w:b/>
          <w:sz w:val="22"/>
          <w:lang w:val="fr-FR" w:bidi="fr-FR"/>
        </w:rPr>
        <w:t>SELF-BILLING</w:t>
      </w:r>
      <w:r w:rsidRPr="00991092">
        <w:rPr>
          <w:rFonts w:ascii="Calibri" w:eastAsia="Calibri" w:hAnsi="Calibri" w:cs="Times New Roman"/>
          <w:b/>
          <w:sz w:val="22"/>
          <w:lang w:val="fr-FR" w:bidi="fr-FR"/>
        </w:rPr>
        <w:t xml:space="preserve"> ou l’intermédiaire établit la facture de commission</w:t>
      </w:r>
      <w:r w:rsidRPr="00991092">
        <w:rPr>
          <w:rFonts w:ascii="Calibri" w:eastAsia="Calibri" w:hAnsi="Calibri" w:cs="Times New Roman"/>
          <w:sz w:val="22"/>
          <w:lang w:val="fr-FR" w:bidi="fr-FR"/>
        </w:rPr>
        <w:t xml:space="preserve"> : Vous pouvez paramétrer pour chaque client comment vous allez collaborer. </w:t>
      </w:r>
      <w:r w:rsidRPr="00991092">
        <w:rPr>
          <w:rFonts w:ascii="Calibri" w:eastAsia="Calibri" w:hAnsi="Calibri" w:cs="Times New Roman"/>
          <w:b/>
          <w:sz w:val="22"/>
          <w:lang w:val="fr-FR" w:bidi="fr-FR"/>
        </w:rPr>
        <w:t>Cependant, vous avez besoin d'un accord signé avec l'organisateur !</w:t>
      </w:r>
    </w:p>
    <w:p w:rsidR="00B2059A" w:rsidRPr="00B2059A" w:rsidRDefault="00B2059A" w:rsidP="00B2059A">
      <w:pPr>
        <w:spacing w:after="160" w:line="259" w:lineRule="auto"/>
        <w:ind w:left="1065"/>
        <w:contextualSpacing/>
        <w:rPr>
          <w:rFonts w:ascii="Calibri" w:eastAsia="Calibri" w:hAnsi="Calibri" w:cs="Times New Roman"/>
          <w:bCs/>
          <w:sz w:val="22"/>
          <w:lang w:val="fr-BE"/>
        </w:rPr>
      </w:pPr>
      <w:r w:rsidRPr="00991092">
        <w:rPr>
          <w:rFonts w:ascii="Calibri" w:eastAsia="Calibri" w:hAnsi="Calibri" w:cs="Times New Roman"/>
          <w:sz w:val="22"/>
          <w:lang w:val="fr-FR" w:bidi="fr-FR"/>
        </w:rPr>
        <w:lastRenderedPageBreak/>
        <w:t>La valeur du paramètre 'J'établis des factures de commission pour cet organisateur' est NON si vous utilisez l'</w:t>
      </w:r>
      <w:r w:rsidR="0035724D">
        <w:rPr>
          <w:rFonts w:ascii="Calibri" w:eastAsia="Calibri" w:hAnsi="Calibri" w:cs="Times New Roman"/>
          <w:sz w:val="22"/>
          <w:lang w:val="fr-FR" w:bidi="fr-FR"/>
        </w:rPr>
        <w:t>Self-</w:t>
      </w:r>
      <w:proofErr w:type="spellStart"/>
      <w:r w:rsidR="0035724D">
        <w:rPr>
          <w:rFonts w:ascii="Calibri" w:eastAsia="Calibri" w:hAnsi="Calibri" w:cs="Times New Roman"/>
          <w:sz w:val="22"/>
          <w:lang w:val="fr-FR" w:bidi="fr-FR"/>
        </w:rPr>
        <w:t>billing</w:t>
      </w:r>
      <w:proofErr w:type="spellEnd"/>
      <w:r w:rsidRPr="00991092">
        <w:rPr>
          <w:rFonts w:ascii="Calibri" w:eastAsia="Calibri" w:hAnsi="Calibri" w:cs="Times New Roman"/>
          <w:sz w:val="22"/>
          <w:lang w:val="fr-FR" w:bidi="fr-FR"/>
        </w:rPr>
        <w:t xml:space="preserve"> avec cet organisateur, et OUI lorsqu'elle n'est pas active.</w:t>
      </w:r>
    </w:p>
    <w:p w:rsidR="00B2059A" w:rsidRPr="00991092" w:rsidRDefault="00B2059A" w:rsidP="00B2059A">
      <w:pPr>
        <w:spacing w:after="160" w:line="259" w:lineRule="auto"/>
        <w:ind w:left="1065"/>
        <w:contextualSpacing/>
        <w:rPr>
          <w:rFonts w:ascii="Calibri" w:eastAsia="Calibri" w:hAnsi="Calibri" w:cs="Times New Roman"/>
          <w:sz w:val="22"/>
          <w:lang w:val="nl-BE"/>
        </w:rPr>
      </w:pPr>
      <w:r w:rsidRPr="00991092">
        <w:rPr>
          <w:rFonts w:ascii="Calibri" w:eastAsia="Calibri" w:hAnsi="Calibri" w:cs="Times New Roman"/>
          <w:b/>
          <w:sz w:val="22"/>
          <w:lang w:val="fr-FR" w:bidi="fr-FR"/>
        </w:rPr>
        <w:br/>
      </w:r>
      <w:bookmarkStart w:id="0" w:name="_GoBack"/>
      <w:r w:rsidR="00B825FC" w:rsidRPr="00B825FC">
        <w:rPr>
          <w:rFonts w:ascii="Calibri" w:eastAsia="Calibri" w:hAnsi="Calibri" w:cs="Times New Roman"/>
          <w:noProof/>
          <w:sz w:val="22"/>
          <w:lang w:eastAsia="nl-NL"/>
        </w:rPr>
        <w:drawing>
          <wp:inline distT="0" distB="0" distL="0" distR="0">
            <wp:extent cx="6044540" cy="3081281"/>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4276" cy="3086244"/>
                    </a:xfrm>
                    <a:prstGeom prst="rect">
                      <a:avLst/>
                    </a:prstGeom>
                    <a:noFill/>
                    <a:ln>
                      <a:noFill/>
                    </a:ln>
                  </pic:spPr>
                </pic:pic>
              </a:graphicData>
            </a:graphic>
          </wp:inline>
        </w:drawing>
      </w:r>
      <w:bookmarkEnd w:id="0"/>
    </w:p>
    <w:p w:rsidR="00B2059A" w:rsidRPr="00991092" w:rsidRDefault="00B2059A" w:rsidP="00B2059A">
      <w:pPr>
        <w:spacing w:after="160" w:line="259" w:lineRule="auto"/>
        <w:rPr>
          <w:rFonts w:ascii="Calibri" w:eastAsia="Calibri" w:hAnsi="Calibri" w:cs="Times New Roman"/>
          <w:sz w:val="22"/>
          <w:lang w:val="nl-BE"/>
        </w:rPr>
      </w:pPr>
    </w:p>
    <w:p w:rsidR="00B2059A" w:rsidRPr="00DD5FB0" w:rsidRDefault="00B2059A" w:rsidP="00991092">
      <w:pPr>
        <w:spacing w:after="160" w:line="259" w:lineRule="auto"/>
        <w:rPr>
          <w:rFonts w:ascii="Calibri" w:eastAsia="Calibri" w:hAnsi="Calibri" w:cs="Times New Roman"/>
          <w:b/>
          <w:bCs/>
          <w:sz w:val="28"/>
          <w:szCs w:val="28"/>
          <w:lang w:val="fr-BE"/>
        </w:rPr>
      </w:pPr>
    </w:p>
    <w:p w:rsidR="00991092" w:rsidRPr="00B2059A" w:rsidRDefault="00B2059A" w:rsidP="00991092">
      <w:pPr>
        <w:spacing w:after="160" w:line="259" w:lineRule="auto"/>
        <w:rPr>
          <w:rFonts w:ascii="Calibri" w:eastAsia="Calibri" w:hAnsi="Calibri" w:cs="Times New Roman"/>
          <w:b/>
          <w:bCs/>
          <w:sz w:val="22"/>
          <w:lang w:val="fr-BE"/>
        </w:rPr>
      </w:pPr>
      <w:r w:rsidRPr="000B0AA0">
        <w:rPr>
          <w:rFonts w:ascii="Calibri" w:eastAsia="Calibri" w:hAnsi="Calibri" w:cs="Times New Roman"/>
          <w:b/>
          <w:sz w:val="22"/>
          <w:lang w:val="fr-FR" w:bidi="fr-FR"/>
        </w:rPr>
        <w:t>Journaux à transmettre à Servico avant le 1</w:t>
      </w:r>
      <w:r>
        <w:rPr>
          <w:rFonts w:ascii="Calibri" w:eastAsia="Calibri" w:hAnsi="Calibri" w:cs="Times New Roman"/>
          <w:b/>
          <w:sz w:val="22"/>
          <w:lang w:val="fr-FR" w:bidi="fr-FR"/>
        </w:rPr>
        <w:t>9</w:t>
      </w:r>
      <w:r w:rsidRPr="000B0AA0">
        <w:rPr>
          <w:rFonts w:ascii="Calibri" w:eastAsia="Calibri" w:hAnsi="Calibri" w:cs="Times New Roman"/>
          <w:b/>
          <w:sz w:val="22"/>
          <w:lang w:val="fr-FR" w:bidi="fr-FR"/>
        </w:rPr>
        <w:t xml:space="preserve"> décembre :</w:t>
      </w:r>
      <w:r w:rsidR="00991092" w:rsidRPr="00B2059A">
        <w:rPr>
          <w:rFonts w:ascii="Calibri" w:eastAsia="Calibri" w:hAnsi="Calibri" w:cs="Times New Roman"/>
          <w:b/>
          <w:bCs/>
          <w:sz w:val="22"/>
          <w:lang w:val="fr-BE"/>
        </w:rPr>
        <w:br/>
      </w:r>
    </w:p>
    <w:tbl>
      <w:tblPr>
        <w:tblStyle w:val="Tabelraster1"/>
        <w:tblW w:w="0" w:type="auto"/>
        <w:tblLook w:val="04A0" w:firstRow="1" w:lastRow="0" w:firstColumn="1" w:lastColumn="0" w:noHBand="0" w:noVBand="1"/>
      </w:tblPr>
      <w:tblGrid>
        <w:gridCol w:w="2265"/>
        <w:gridCol w:w="2265"/>
        <w:gridCol w:w="2266"/>
        <w:gridCol w:w="2413"/>
      </w:tblGrid>
      <w:tr w:rsidR="00991092" w:rsidRPr="00991092" w:rsidTr="00833A7C">
        <w:tc>
          <w:tcPr>
            <w:tcW w:w="2265" w:type="dxa"/>
          </w:tcPr>
          <w:p w:rsidR="00991092" w:rsidRPr="00991092" w:rsidRDefault="00B2059A" w:rsidP="00991092">
            <w:pPr>
              <w:rPr>
                <w:rFonts w:ascii="Calibri" w:eastAsia="Calibri" w:hAnsi="Calibri" w:cs="Times New Roman"/>
                <w:sz w:val="22"/>
                <w:lang w:val="nl-BE"/>
              </w:rPr>
            </w:pPr>
            <w:r w:rsidRPr="000B0AA0">
              <w:rPr>
                <w:rFonts w:ascii="Calibri" w:eastAsia="Calibri" w:hAnsi="Calibri" w:cs="Times New Roman"/>
                <w:sz w:val="22"/>
                <w:lang w:val="fr-FR" w:bidi="fr-FR"/>
              </w:rPr>
              <w:t>Agence</w:t>
            </w:r>
          </w:p>
        </w:tc>
        <w:tc>
          <w:tcPr>
            <w:tcW w:w="2265" w:type="dxa"/>
          </w:tcPr>
          <w:p w:rsidR="00991092" w:rsidRPr="00991092" w:rsidRDefault="00B2059A" w:rsidP="00991092">
            <w:pPr>
              <w:rPr>
                <w:rFonts w:ascii="Calibri" w:eastAsia="Calibri" w:hAnsi="Calibri" w:cs="Times New Roman"/>
                <w:sz w:val="22"/>
                <w:lang w:val="nl-BE"/>
              </w:rPr>
            </w:pPr>
            <w:r>
              <w:rPr>
                <w:rFonts w:ascii="Calibri" w:eastAsia="Calibri" w:hAnsi="Calibri" w:cs="Times New Roman"/>
                <w:sz w:val="22"/>
                <w:lang w:val="nl-BE"/>
              </w:rPr>
              <w:t xml:space="preserve">Journal de </w:t>
            </w:r>
            <w:proofErr w:type="spellStart"/>
            <w:r>
              <w:rPr>
                <w:rFonts w:ascii="Calibri" w:eastAsia="Calibri" w:hAnsi="Calibri" w:cs="Times New Roman"/>
                <w:sz w:val="22"/>
                <w:lang w:val="nl-BE"/>
              </w:rPr>
              <w:t>vente</w:t>
            </w:r>
            <w:proofErr w:type="spellEnd"/>
            <w:r w:rsidR="00991092" w:rsidRPr="00991092">
              <w:rPr>
                <w:rFonts w:ascii="Calibri" w:eastAsia="Calibri" w:hAnsi="Calibri" w:cs="Times New Roman"/>
                <w:sz w:val="22"/>
                <w:lang w:val="nl-BE"/>
              </w:rPr>
              <w:t xml:space="preserve"> </w:t>
            </w:r>
            <w:proofErr w:type="spellStart"/>
            <w:r w:rsidR="00991092" w:rsidRPr="00991092">
              <w:rPr>
                <w:rFonts w:ascii="Calibri" w:eastAsia="Calibri" w:hAnsi="Calibri" w:cs="Times New Roman"/>
                <w:sz w:val="22"/>
                <w:lang w:val="nl-BE"/>
              </w:rPr>
              <w:t>Selfbilling</w:t>
            </w:r>
            <w:proofErr w:type="spellEnd"/>
          </w:p>
        </w:tc>
        <w:tc>
          <w:tcPr>
            <w:tcW w:w="2266" w:type="dxa"/>
          </w:tcPr>
          <w:p w:rsidR="00991092" w:rsidRPr="00B2059A" w:rsidRDefault="00B2059A" w:rsidP="00B2059A">
            <w:pPr>
              <w:rPr>
                <w:rFonts w:ascii="Calibri" w:eastAsia="Calibri" w:hAnsi="Calibri" w:cs="Times New Roman"/>
                <w:sz w:val="22"/>
                <w:lang w:val="fr-BE"/>
              </w:rPr>
            </w:pPr>
            <w:r w:rsidRPr="00B2059A">
              <w:rPr>
                <w:rFonts w:ascii="Calibri" w:eastAsia="Calibri" w:hAnsi="Calibri" w:cs="Times New Roman"/>
                <w:sz w:val="22"/>
                <w:lang w:val="fr-BE"/>
              </w:rPr>
              <w:t xml:space="preserve">Journal de vente pas de </w:t>
            </w:r>
            <w:r w:rsidR="00991092" w:rsidRPr="00B2059A">
              <w:rPr>
                <w:rFonts w:ascii="Calibri" w:eastAsia="Calibri" w:hAnsi="Calibri" w:cs="Times New Roman"/>
                <w:sz w:val="22"/>
                <w:lang w:val="fr-BE"/>
              </w:rPr>
              <w:t xml:space="preserve">-self </w:t>
            </w:r>
            <w:proofErr w:type="spellStart"/>
            <w:r w:rsidR="00991092" w:rsidRPr="00B2059A">
              <w:rPr>
                <w:rFonts w:ascii="Calibri" w:eastAsia="Calibri" w:hAnsi="Calibri" w:cs="Times New Roman"/>
                <w:sz w:val="22"/>
                <w:lang w:val="fr-BE"/>
              </w:rPr>
              <w:t>billing</w:t>
            </w:r>
            <w:proofErr w:type="spellEnd"/>
          </w:p>
        </w:tc>
        <w:tc>
          <w:tcPr>
            <w:tcW w:w="2413" w:type="dxa"/>
          </w:tcPr>
          <w:p w:rsidR="00991092" w:rsidRPr="00991092" w:rsidRDefault="00B2059A" w:rsidP="00991092">
            <w:pPr>
              <w:rPr>
                <w:rFonts w:ascii="Calibri" w:eastAsia="Calibri" w:hAnsi="Calibri" w:cs="Times New Roman"/>
                <w:sz w:val="22"/>
                <w:lang w:val="nl-BE"/>
              </w:rPr>
            </w:pPr>
            <w:r>
              <w:rPr>
                <w:rFonts w:ascii="Calibri" w:eastAsia="Calibri" w:hAnsi="Calibri" w:cs="Times New Roman"/>
                <w:sz w:val="22"/>
                <w:lang w:val="nl-BE"/>
              </w:rPr>
              <w:t xml:space="preserve">Journal </w:t>
            </w:r>
            <w:proofErr w:type="spellStart"/>
            <w:r>
              <w:rPr>
                <w:rFonts w:ascii="Calibri" w:eastAsia="Calibri" w:hAnsi="Calibri" w:cs="Times New Roman"/>
                <w:sz w:val="22"/>
                <w:lang w:val="nl-BE"/>
              </w:rPr>
              <w:t>postes</w:t>
            </w:r>
            <w:proofErr w:type="spellEnd"/>
            <w:r>
              <w:rPr>
                <w:rFonts w:ascii="Calibri" w:eastAsia="Calibri" w:hAnsi="Calibri" w:cs="Times New Roman"/>
                <w:sz w:val="22"/>
                <w:lang w:val="nl-BE"/>
              </w:rPr>
              <w:t xml:space="preserve"> divers</w:t>
            </w:r>
            <w:r w:rsidR="00991092" w:rsidRPr="00991092">
              <w:rPr>
                <w:rFonts w:ascii="Calibri" w:eastAsia="Calibri" w:hAnsi="Calibri" w:cs="Times New Roman"/>
                <w:sz w:val="22"/>
                <w:lang w:val="nl-BE"/>
              </w:rPr>
              <w:t xml:space="preserve"> </w:t>
            </w: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r w:rsidR="00991092" w:rsidRPr="00991092" w:rsidTr="00833A7C">
        <w:tc>
          <w:tcPr>
            <w:tcW w:w="2265" w:type="dxa"/>
          </w:tcPr>
          <w:p w:rsidR="00991092" w:rsidRPr="00991092" w:rsidRDefault="00991092" w:rsidP="00991092">
            <w:pPr>
              <w:rPr>
                <w:rFonts w:ascii="Calibri" w:eastAsia="Calibri" w:hAnsi="Calibri" w:cs="Times New Roman"/>
                <w:sz w:val="22"/>
                <w:lang w:val="nl-BE"/>
              </w:rPr>
            </w:pPr>
          </w:p>
        </w:tc>
        <w:tc>
          <w:tcPr>
            <w:tcW w:w="2265" w:type="dxa"/>
          </w:tcPr>
          <w:p w:rsidR="00991092" w:rsidRPr="00991092" w:rsidRDefault="00991092" w:rsidP="00991092">
            <w:pPr>
              <w:rPr>
                <w:rFonts w:ascii="Calibri" w:eastAsia="Calibri" w:hAnsi="Calibri" w:cs="Times New Roman"/>
                <w:sz w:val="22"/>
                <w:lang w:val="nl-BE"/>
              </w:rPr>
            </w:pPr>
          </w:p>
        </w:tc>
        <w:tc>
          <w:tcPr>
            <w:tcW w:w="2266" w:type="dxa"/>
          </w:tcPr>
          <w:p w:rsidR="00991092" w:rsidRPr="00991092" w:rsidRDefault="00991092" w:rsidP="00991092">
            <w:pPr>
              <w:rPr>
                <w:rFonts w:ascii="Calibri" w:eastAsia="Calibri" w:hAnsi="Calibri" w:cs="Times New Roman"/>
                <w:sz w:val="22"/>
                <w:lang w:val="nl-BE"/>
              </w:rPr>
            </w:pPr>
          </w:p>
        </w:tc>
        <w:tc>
          <w:tcPr>
            <w:tcW w:w="2413" w:type="dxa"/>
          </w:tcPr>
          <w:p w:rsidR="00991092" w:rsidRPr="00991092" w:rsidRDefault="00991092" w:rsidP="00991092">
            <w:pPr>
              <w:rPr>
                <w:rFonts w:ascii="Calibri" w:eastAsia="Calibri" w:hAnsi="Calibri" w:cs="Times New Roman"/>
                <w:sz w:val="22"/>
                <w:lang w:val="nl-BE"/>
              </w:rPr>
            </w:pPr>
          </w:p>
        </w:tc>
      </w:tr>
    </w:tbl>
    <w:p w:rsidR="00991092" w:rsidRPr="00991092" w:rsidRDefault="00991092" w:rsidP="00991092">
      <w:pPr>
        <w:spacing w:after="160" w:line="259" w:lineRule="auto"/>
        <w:rPr>
          <w:rFonts w:ascii="Calibri" w:eastAsia="Calibri" w:hAnsi="Calibri" w:cs="Times New Roman"/>
          <w:sz w:val="22"/>
          <w:lang w:val="nl-BE"/>
        </w:rPr>
      </w:pPr>
    </w:p>
    <w:p w:rsidR="00B2059A" w:rsidRPr="000B0AA0" w:rsidRDefault="00B2059A" w:rsidP="00B2059A">
      <w:pPr>
        <w:spacing w:after="160" w:line="259" w:lineRule="auto"/>
        <w:rPr>
          <w:rFonts w:ascii="Calibri" w:eastAsia="Calibri" w:hAnsi="Calibri" w:cs="Times New Roman"/>
          <w:sz w:val="22"/>
          <w:lang w:val="fr-FR"/>
        </w:rPr>
      </w:pPr>
      <w:r w:rsidRPr="000B0AA0">
        <w:rPr>
          <w:rFonts w:ascii="Calibri" w:eastAsia="Calibri" w:hAnsi="Calibri" w:cs="Times New Roman"/>
          <w:b/>
          <w:sz w:val="22"/>
          <w:lang w:val="fr-FR" w:bidi="fr-FR"/>
        </w:rPr>
        <w:t xml:space="preserve">Logique pour création de code </w:t>
      </w:r>
      <w:r>
        <w:rPr>
          <w:rFonts w:ascii="Calibri" w:eastAsia="Calibri" w:hAnsi="Calibri" w:cs="Times New Roman"/>
          <w:b/>
          <w:sz w:val="22"/>
          <w:lang w:val="fr-FR" w:bidi="fr-FR"/>
        </w:rPr>
        <w:t>client</w:t>
      </w:r>
      <w:r w:rsidRPr="000B0AA0">
        <w:rPr>
          <w:rFonts w:ascii="Calibri" w:eastAsia="Calibri" w:hAnsi="Calibri" w:cs="Times New Roman"/>
          <w:sz w:val="22"/>
          <w:lang w:val="fr-FR" w:bidi="fr-FR"/>
        </w:rPr>
        <w:t xml:space="preserve"> : Un </w:t>
      </w:r>
      <w:r>
        <w:rPr>
          <w:rFonts w:ascii="Calibri" w:eastAsia="Calibri" w:hAnsi="Calibri" w:cs="Times New Roman"/>
          <w:sz w:val="22"/>
          <w:lang w:val="fr-FR" w:bidi="fr-FR"/>
        </w:rPr>
        <w:t>client</w:t>
      </w:r>
      <w:r w:rsidRPr="000B0AA0">
        <w:rPr>
          <w:rFonts w:ascii="Calibri" w:eastAsia="Calibri" w:hAnsi="Calibri" w:cs="Times New Roman"/>
          <w:sz w:val="22"/>
          <w:lang w:val="fr-FR" w:bidi="fr-FR"/>
        </w:rPr>
        <w:t xml:space="preserve"> sera créé avec le même code que le code </w:t>
      </w:r>
      <w:r>
        <w:rPr>
          <w:rFonts w:ascii="Calibri" w:eastAsia="Calibri" w:hAnsi="Calibri" w:cs="Times New Roman"/>
          <w:sz w:val="22"/>
          <w:lang w:val="fr-FR" w:bidi="fr-FR"/>
        </w:rPr>
        <w:t>fournisseur</w:t>
      </w:r>
      <w:r w:rsidRPr="000B0AA0">
        <w:rPr>
          <w:rFonts w:ascii="Calibri" w:eastAsia="Calibri" w:hAnsi="Calibri" w:cs="Times New Roman"/>
          <w:sz w:val="22"/>
          <w:lang w:val="fr-FR" w:bidi="fr-FR"/>
        </w:rPr>
        <w:t xml:space="preserve"> (pour les </w:t>
      </w:r>
      <w:r>
        <w:rPr>
          <w:rFonts w:ascii="Calibri" w:eastAsia="Calibri" w:hAnsi="Calibri" w:cs="Times New Roman"/>
          <w:sz w:val="22"/>
          <w:lang w:val="fr-FR" w:bidi="fr-FR"/>
        </w:rPr>
        <w:t>fournisseurs</w:t>
      </w:r>
      <w:r w:rsidRPr="000B0AA0">
        <w:rPr>
          <w:rFonts w:ascii="Calibri" w:eastAsia="Calibri" w:hAnsi="Calibri" w:cs="Times New Roman"/>
          <w:sz w:val="22"/>
          <w:lang w:val="fr-FR" w:bidi="fr-FR"/>
        </w:rPr>
        <w:t xml:space="preserve"> actifs que vous n’avez pas encore reliés vous-même). </w:t>
      </w:r>
    </w:p>
    <w:p w:rsidR="00991092" w:rsidRPr="009D3C14" w:rsidRDefault="00B2059A" w:rsidP="00B2059A">
      <w:pPr>
        <w:spacing w:after="160" w:line="259" w:lineRule="auto"/>
        <w:rPr>
          <w:rFonts w:ascii="Calibri" w:eastAsia="Calibri" w:hAnsi="Calibri" w:cs="Times New Roman"/>
          <w:sz w:val="22"/>
          <w:lang w:val="fr-BE"/>
        </w:rPr>
      </w:pPr>
      <w:r>
        <w:rPr>
          <w:rFonts w:ascii="Calibri" w:eastAsia="Calibri" w:hAnsi="Calibri" w:cs="Times New Roman"/>
          <w:sz w:val="22"/>
          <w:lang w:val="fr-FR"/>
        </w:rPr>
        <w:t xml:space="preserve">On va copier tous les fournisseurs vers clients, la deuxième partie de </w:t>
      </w:r>
      <w:proofErr w:type="spellStart"/>
      <w:r>
        <w:rPr>
          <w:rFonts w:ascii="Calibri" w:eastAsia="Calibri" w:hAnsi="Calibri" w:cs="Times New Roman"/>
          <w:sz w:val="22"/>
          <w:lang w:val="fr-FR"/>
        </w:rPr>
        <w:t>decembre</w:t>
      </w:r>
      <w:proofErr w:type="spellEnd"/>
      <w:r>
        <w:rPr>
          <w:rFonts w:ascii="Calibri" w:eastAsia="Calibri" w:hAnsi="Calibri" w:cs="Times New Roman"/>
          <w:sz w:val="22"/>
          <w:lang w:val="fr-FR"/>
        </w:rPr>
        <w:t>.</w:t>
      </w:r>
    </w:p>
    <w:p w:rsidR="00991092" w:rsidRPr="009D3C14" w:rsidRDefault="00991092" w:rsidP="00991092">
      <w:pPr>
        <w:spacing w:after="160" w:line="259" w:lineRule="auto"/>
        <w:rPr>
          <w:rFonts w:ascii="Calibri" w:eastAsia="Calibri" w:hAnsi="Calibri" w:cs="Times New Roman"/>
          <w:sz w:val="22"/>
          <w:lang w:val="fr-BE"/>
        </w:rPr>
      </w:pPr>
    </w:p>
    <w:p w:rsidR="00DA1F50" w:rsidRPr="009D3C14" w:rsidRDefault="00DA1F50" w:rsidP="006961C3">
      <w:pPr>
        <w:rPr>
          <w:lang w:val="fr-BE"/>
        </w:rPr>
      </w:pPr>
    </w:p>
    <w:sectPr w:rsidR="00DA1F50" w:rsidRPr="009D3C14" w:rsidSect="0001607B">
      <w:headerReference w:type="even" r:id="rId16"/>
      <w:headerReference w:type="default" r:id="rId17"/>
      <w:footerReference w:type="even" r:id="rId18"/>
      <w:footerReference w:type="default" r:id="rId19"/>
      <w:headerReference w:type="first" r:id="rId20"/>
      <w:footerReference w:type="first" r:id="rId21"/>
      <w:pgSz w:w="11907" w:h="16839" w:code="9"/>
      <w:pgMar w:top="1947" w:right="1134" w:bottom="567" w:left="1276" w:header="57" w:footer="3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92" w:rsidRDefault="00991092">
      <w:r>
        <w:separator/>
      </w:r>
    </w:p>
  </w:endnote>
  <w:endnote w:type="continuationSeparator" w:id="0">
    <w:p w:rsidR="00991092" w:rsidRDefault="0099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836" w:rsidRDefault="0058783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7C" w:rsidRPr="00365399" w:rsidRDefault="0030607C" w:rsidP="00991092">
    <w:pPr>
      <w:pStyle w:val="Voettekst"/>
      <w:pBdr>
        <w:top w:val="single" w:sz="4" w:space="1" w:color="BFBFBF"/>
      </w:pBdr>
      <w:tabs>
        <w:tab w:val="clear" w:pos="4680"/>
        <w:tab w:val="clear" w:pos="9360"/>
        <w:tab w:val="center" w:pos="4820"/>
        <w:tab w:val="right" w:pos="9498"/>
      </w:tabs>
      <w:rPr>
        <w:lang w:val="en-GB"/>
      </w:rPr>
    </w:pPr>
    <w:r w:rsidRPr="00365399">
      <w:rPr>
        <w:lang w:val="en-GB"/>
      </w:rPr>
      <w:tab/>
    </w:r>
    <w:r>
      <w:fldChar w:fldCharType="begin"/>
    </w:r>
    <w:r w:rsidRPr="00365399">
      <w:rPr>
        <w:lang w:val="en-GB"/>
      </w:rPr>
      <w:instrText xml:space="preserve"> PAGE   \* MERGEFORMAT </w:instrText>
    </w:r>
    <w:r>
      <w:fldChar w:fldCharType="separate"/>
    </w:r>
    <w:r w:rsidR="00B825FC">
      <w:rPr>
        <w:noProof/>
        <w:lang w:val="en-GB"/>
      </w:rPr>
      <w:t>4</w:t>
    </w:r>
    <w:r>
      <w:rPr>
        <w:noProof/>
      </w:rPr>
      <w:fldChar w:fldCharType="end"/>
    </w:r>
    <w:r w:rsidRPr="00365399">
      <w:rPr>
        <w:lang w:val="en-GB"/>
      </w:rPr>
      <w:t xml:space="preserve"> van </w:t>
    </w:r>
    <w:r w:rsidR="00365399">
      <w:fldChar w:fldCharType="begin"/>
    </w:r>
    <w:r w:rsidR="00365399" w:rsidRPr="00365399">
      <w:rPr>
        <w:lang w:val="en-GB"/>
      </w:rPr>
      <w:instrText xml:space="preserve"> NUMPAGES   \* MERGEFORMAT </w:instrText>
    </w:r>
    <w:r w:rsidR="00365399">
      <w:fldChar w:fldCharType="separate"/>
    </w:r>
    <w:r w:rsidR="00B825FC">
      <w:rPr>
        <w:noProof/>
        <w:lang w:val="en-GB"/>
      </w:rPr>
      <w:t>4</w:t>
    </w:r>
    <w:r w:rsidR="00365399">
      <w:rPr>
        <w:noProof/>
      </w:rPr>
      <w:fldChar w:fldCharType="end"/>
    </w:r>
  </w:p>
  <w:p w:rsidR="0030607C" w:rsidRPr="00365399" w:rsidRDefault="0030607C">
    <w:pP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836" w:rsidRDefault="005878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92" w:rsidRDefault="00991092">
      <w:r>
        <w:separator/>
      </w:r>
    </w:p>
  </w:footnote>
  <w:footnote w:type="continuationSeparator" w:id="0">
    <w:p w:rsidR="00991092" w:rsidRDefault="00991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836" w:rsidRDefault="005878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D8" w:rsidRDefault="002309D8">
    <w:pPr>
      <w:pStyle w:val="Koptekst"/>
    </w:pPr>
  </w:p>
  <w:p w:rsidR="00162741" w:rsidRDefault="00F840CD">
    <w:pPr>
      <w:pStyle w:val="Koptekst"/>
    </w:pPr>
    <w:r>
      <w:rPr>
        <w:noProof/>
        <w:lang w:eastAsia="nl-NL"/>
      </w:rPr>
      <w:drawing>
        <wp:inline distT="0" distB="0" distL="0" distR="0">
          <wp:extent cx="6117465" cy="915333"/>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actuur_inv_3.png"/>
                  <pic:cNvPicPr/>
                </pic:nvPicPr>
                <pic:blipFill>
                  <a:blip r:embed="rId1">
                    <a:extLst>
                      <a:ext uri="{28A0092B-C50C-407E-A947-70E740481C1C}">
                        <a14:useLocalDpi xmlns:a14="http://schemas.microsoft.com/office/drawing/2010/main" val="0"/>
                      </a:ext>
                    </a:extLst>
                  </a:blip>
                  <a:stretch>
                    <a:fillRect/>
                  </a:stretch>
                </pic:blipFill>
                <pic:spPr>
                  <a:xfrm>
                    <a:off x="0" y="0"/>
                    <a:ext cx="6222795" cy="9310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D5" w:rsidRPr="00365399" w:rsidRDefault="00587836" w:rsidP="009E32D5">
    <w:pPr>
      <w:pStyle w:val="Voettekst"/>
      <w:tabs>
        <w:tab w:val="clear" w:pos="4680"/>
        <w:tab w:val="clear" w:pos="9360"/>
        <w:tab w:val="center" w:pos="4820"/>
        <w:tab w:val="right" w:pos="9498"/>
      </w:tabs>
      <w:ind w:left="-1276"/>
      <w:rPr>
        <w:sz w:val="16"/>
        <w:szCs w:val="16"/>
        <w:lang w:val="en-GB"/>
      </w:rPr>
    </w:pPr>
    <w:r>
      <w:rPr>
        <w:noProof/>
        <w:sz w:val="16"/>
        <w:szCs w:val="16"/>
        <w:lang w:eastAsia="nl-NL"/>
      </w:rPr>
      <w:drawing>
        <wp:inline distT="0" distB="0" distL="0" distR="0">
          <wp:extent cx="7573802" cy="135255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erte_header_high.png"/>
                  <pic:cNvPicPr/>
                </pic:nvPicPr>
                <pic:blipFill>
                  <a:blip r:embed="rId1">
                    <a:extLst>
                      <a:ext uri="{28A0092B-C50C-407E-A947-70E740481C1C}">
                        <a14:useLocalDpi xmlns:a14="http://schemas.microsoft.com/office/drawing/2010/main" val="0"/>
                      </a:ext>
                    </a:extLst>
                  </a:blip>
                  <a:stretch>
                    <a:fillRect/>
                  </a:stretch>
                </pic:blipFill>
                <pic:spPr>
                  <a:xfrm>
                    <a:off x="0" y="0"/>
                    <a:ext cx="7581998" cy="13540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alt="ServicoLogo.jpg" style="width:213.1pt;height:44.95pt;visibility:visible;mso-wrap-style:square" o:bullet="t">
        <v:imagedata r:id="rId1" o:title="ServicoLogo"/>
      </v:shape>
    </w:pict>
  </w:numPicBullet>
  <w:abstractNum w:abstractNumId="0" w15:restartNumberingAfterBreak="0">
    <w:nsid w:val="FFFFFF7F"/>
    <w:multiLevelType w:val="singleLevel"/>
    <w:tmpl w:val="F59C266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0C6CD43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C6448C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730950E"/>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2D54221C"/>
    <w:multiLevelType w:val="hybridMultilevel"/>
    <w:tmpl w:val="7EB8B594"/>
    <w:lvl w:ilvl="0" w:tplc="131EDFB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BB3DC0"/>
    <w:multiLevelType w:val="hybridMultilevel"/>
    <w:tmpl w:val="43C68074"/>
    <w:lvl w:ilvl="0" w:tplc="A3126EDA">
      <w:start w:val="1"/>
      <w:numFmt w:val="upp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A42BF6"/>
    <w:multiLevelType w:val="hybridMultilevel"/>
    <w:tmpl w:val="7BA047DE"/>
    <w:lvl w:ilvl="0" w:tplc="7B841090">
      <w:start w:val="1"/>
      <w:numFmt w:val="bullet"/>
      <w:lvlText w:val=""/>
      <w:lvlPicBulletId w:val="0"/>
      <w:lvlJc w:val="left"/>
      <w:pPr>
        <w:tabs>
          <w:tab w:val="num" w:pos="720"/>
        </w:tabs>
        <w:ind w:left="720" w:hanging="360"/>
      </w:pPr>
      <w:rPr>
        <w:rFonts w:ascii="Symbol" w:hAnsi="Symbol" w:hint="default"/>
      </w:rPr>
    </w:lvl>
    <w:lvl w:ilvl="1" w:tplc="A022C35C" w:tentative="1">
      <w:start w:val="1"/>
      <w:numFmt w:val="bullet"/>
      <w:lvlText w:val=""/>
      <w:lvlJc w:val="left"/>
      <w:pPr>
        <w:tabs>
          <w:tab w:val="num" w:pos="1440"/>
        </w:tabs>
        <w:ind w:left="1440" w:hanging="360"/>
      </w:pPr>
      <w:rPr>
        <w:rFonts w:ascii="Symbol" w:hAnsi="Symbol" w:hint="default"/>
      </w:rPr>
    </w:lvl>
    <w:lvl w:ilvl="2" w:tplc="25189474" w:tentative="1">
      <w:start w:val="1"/>
      <w:numFmt w:val="bullet"/>
      <w:lvlText w:val=""/>
      <w:lvlJc w:val="left"/>
      <w:pPr>
        <w:tabs>
          <w:tab w:val="num" w:pos="2160"/>
        </w:tabs>
        <w:ind w:left="2160" w:hanging="360"/>
      </w:pPr>
      <w:rPr>
        <w:rFonts w:ascii="Symbol" w:hAnsi="Symbol" w:hint="default"/>
      </w:rPr>
    </w:lvl>
    <w:lvl w:ilvl="3" w:tplc="9F4A84C4" w:tentative="1">
      <w:start w:val="1"/>
      <w:numFmt w:val="bullet"/>
      <w:lvlText w:val=""/>
      <w:lvlJc w:val="left"/>
      <w:pPr>
        <w:tabs>
          <w:tab w:val="num" w:pos="2880"/>
        </w:tabs>
        <w:ind w:left="2880" w:hanging="360"/>
      </w:pPr>
      <w:rPr>
        <w:rFonts w:ascii="Symbol" w:hAnsi="Symbol" w:hint="default"/>
      </w:rPr>
    </w:lvl>
    <w:lvl w:ilvl="4" w:tplc="C26061B0" w:tentative="1">
      <w:start w:val="1"/>
      <w:numFmt w:val="bullet"/>
      <w:lvlText w:val=""/>
      <w:lvlJc w:val="left"/>
      <w:pPr>
        <w:tabs>
          <w:tab w:val="num" w:pos="3600"/>
        </w:tabs>
        <w:ind w:left="3600" w:hanging="360"/>
      </w:pPr>
      <w:rPr>
        <w:rFonts w:ascii="Symbol" w:hAnsi="Symbol" w:hint="default"/>
      </w:rPr>
    </w:lvl>
    <w:lvl w:ilvl="5" w:tplc="F54852F0" w:tentative="1">
      <w:start w:val="1"/>
      <w:numFmt w:val="bullet"/>
      <w:lvlText w:val=""/>
      <w:lvlJc w:val="left"/>
      <w:pPr>
        <w:tabs>
          <w:tab w:val="num" w:pos="4320"/>
        </w:tabs>
        <w:ind w:left="4320" w:hanging="360"/>
      </w:pPr>
      <w:rPr>
        <w:rFonts w:ascii="Symbol" w:hAnsi="Symbol" w:hint="default"/>
      </w:rPr>
    </w:lvl>
    <w:lvl w:ilvl="6" w:tplc="1CB8374A" w:tentative="1">
      <w:start w:val="1"/>
      <w:numFmt w:val="bullet"/>
      <w:lvlText w:val=""/>
      <w:lvlJc w:val="left"/>
      <w:pPr>
        <w:tabs>
          <w:tab w:val="num" w:pos="5040"/>
        </w:tabs>
        <w:ind w:left="5040" w:hanging="360"/>
      </w:pPr>
      <w:rPr>
        <w:rFonts w:ascii="Symbol" w:hAnsi="Symbol" w:hint="default"/>
      </w:rPr>
    </w:lvl>
    <w:lvl w:ilvl="7" w:tplc="64E4FCAE" w:tentative="1">
      <w:start w:val="1"/>
      <w:numFmt w:val="bullet"/>
      <w:lvlText w:val=""/>
      <w:lvlJc w:val="left"/>
      <w:pPr>
        <w:tabs>
          <w:tab w:val="num" w:pos="5760"/>
        </w:tabs>
        <w:ind w:left="5760" w:hanging="360"/>
      </w:pPr>
      <w:rPr>
        <w:rFonts w:ascii="Symbol" w:hAnsi="Symbol" w:hint="default"/>
      </w:rPr>
    </w:lvl>
    <w:lvl w:ilvl="8" w:tplc="27184EC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92"/>
    <w:rsid w:val="000008BF"/>
    <w:rsid w:val="00012E6F"/>
    <w:rsid w:val="0001607B"/>
    <w:rsid w:val="000225DA"/>
    <w:rsid w:val="00034BBF"/>
    <w:rsid w:val="000721B3"/>
    <w:rsid w:val="00097D47"/>
    <w:rsid w:val="000D4FE9"/>
    <w:rsid w:val="00162741"/>
    <w:rsid w:val="0016784A"/>
    <w:rsid w:val="0017406F"/>
    <w:rsid w:val="0019053B"/>
    <w:rsid w:val="001A0112"/>
    <w:rsid w:val="001F2D38"/>
    <w:rsid w:val="00224963"/>
    <w:rsid w:val="002309D8"/>
    <w:rsid w:val="00234AF4"/>
    <w:rsid w:val="002436EB"/>
    <w:rsid w:val="002A5E01"/>
    <w:rsid w:val="002D26F7"/>
    <w:rsid w:val="002D3285"/>
    <w:rsid w:val="0030607C"/>
    <w:rsid w:val="003118A8"/>
    <w:rsid w:val="0035724D"/>
    <w:rsid w:val="00365399"/>
    <w:rsid w:val="00386217"/>
    <w:rsid w:val="003A56BB"/>
    <w:rsid w:val="003B2403"/>
    <w:rsid w:val="003E5EC1"/>
    <w:rsid w:val="00462451"/>
    <w:rsid w:val="004954C4"/>
    <w:rsid w:val="004A7191"/>
    <w:rsid w:val="004B0D54"/>
    <w:rsid w:val="004B0F69"/>
    <w:rsid w:val="004E6C66"/>
    <w:rsid w:val="00503E71"/>
    <w:rsid w:val="00506E23"/>
    <w:rsid w:val="00513284"/>
    <w:rsid w:val="00532EEB"/>
    <w:rsid w:val="005342A1"/>
    <w:rsid w:val="0056396B"/>
    <w:rsid w:val="00581AEA"/>
    <w:rsid w:val="00587836"/>
    <w:rsid w:val="005D0C4C"/>
    <w:rsid w:val="0060205B"/>
    <w:rsid w:val="00613ED6"/>
    <w:rsid w:val="006203C0"/>
    <w:rsid w:val="00675FF0"/>
    <w:rsid w:val="0067650F"/>
    <w:rsid w:val="006961C3"/>
    <w:rsid w:val="006D0736"/>
    <w:rsid w:val="006F6D04"/>
    <w:rsid w:val="00707B9C"/>
    <w:rsid w:val="00716713"/>
    <w:rsid w:val="00724516"/>
    <w:rsid w:val="00744373"/>
    <w:rsid w:val="007615FA"/>
    <w:rsid w:val="00773C5B"/>
    <w:rsid w:val="007959B6"/>
    <w:rsid w:val="007A141B"/>
    <w:rsid w:val="007C693E"/>
    <w:rsid w:val="007F6963"/>
    <w:rsid w:val="00807671"/>
    <w:rsid w:val="008871F3"/>
    <w:rsid w:val="008A2DAD"/>
    <w:rsid w:val="008A54B0"/>
    <w:rsid w:val="00935211"/>
    <w:rsid w:val="00937D99"/>
    <w:rsid w:val="009440F9"/>
    <w:rsid w:val="00957A43"/>
    <w:rsid w:val="00973069"/>
    <w:rsid w:val="00990761"/>
    <w:rsid w:val="00991092"/>
    <w:rsid w:val="009B4D1E"/>
    <w:rsid w:val="009C0EF8"/>
    <w:rsid w:val="009D3C14"/>
    <w:rsid w:val="009D4519"/>
    <w:rsid w:val="009E32D5"/>
    <w:rsid w:val="009F5FE1"/>
    <w:rsid w:val="00A022E4"/>
    <w:rsid w:val="00A065AC"/>
    <w:rsid w:val="00A12EC3"/>
    <w:rsid w:val="00A61A31"/>
    <w:rsid w:val="00A80D6C"/>
    <w:rsid w:val="00A913B5"/>
    <w:rsid w:val="00A9159F"/>
    <w:rsid w:val="00A9746E"/>
    <w:rsid w:val="00A97A0B"/>
    <w:rsid w:val="00AA2B0C"/>
    <w:rsid w:val="00AC4103"/>
    <w:rsid w:val="00AD6702"/>
    <w:rsid w:val="00AE0441"/>
    <w:rsid w:val="00AF069C"/>
    <w:rsid w:val="00B2059A"/>
    <w:rsid w:val="00B825FC"/>
    <w:rsid w:val="00BA3891"/>
    <w:rsid w:val="00BB7192"/>
    <w:rsid w:val="00BC3EA4"/>
    <w:rsid w:val="00BC5E9D"/>
    <w:rsid w:val="00BE2C78"/>
    <w:rsid w:val="00BE6460"/>
    <w:rsid w:val="00BF3D35"/>
    <w:rsid w:val="00C11A93"/>
    <w:rsid w:val="00C33E4D"/>
    <w:rsid w:val="00C432EC"/>
    <w:rsid w:val="00C52F26"/>
    <w:rsid w:val="00C578F8"/>
    <w:rsid w:val="00C971BF"/>
    <w:rsid w:val="00CF4BDA"/>
    <w:rsid w:val="00D03B9E"/>
    <w:rsid w:val="00D15A93"/>
    <w:rsid w:val="00D24D97"/>
    <w:rsid w:val="00D40A10"/>
    <w:rsid w:val="00DA1F50"/>
    <w:rsid w:val="00DA2DC8"/>
    <w:rsid w:val="00DD5FB0"/>
    <w:rsid w:val="00DE76A0"/>
    <w:rsid w:val="00E305F9"/>
    <w:rsid w:val="00E5365E"/>
    <w:rsid w:val="00E60EFF"/>
    <w:rsid w:val="00E72806"/>
    <w:rsid w:val="00EB571C"/>
    <w:rsid w:val="00EC0D67"/>
    <w:rsid w:val="00EE6EC8"/>
    <w:rsid w:val="00EF6460"/>
    <w:rsid w:val="00F72D1C"/>
    <w:rsid w:val="00F769E2"/>
    <w:rsid w:val="00F840CD"/>
    <w:rsid w:val="00FE71A9"/>
    <w:rsid w:val="00FF3C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9C290E7-A5B3-48C0-B82B-0E78788B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emiHidden/>
    <w:qFormat/>
    <w:rsid w:val="003118A8"/>
    <w:pPr>
      <w:spacing w:line="240" w:lineRule="auto"/>
    </w:pPr>
    <w:rPr>
      <w:sz w:val="20"/>
      <w:lang w:val="nl-NL"/>
    </w:rPr>
  </w:style>
  <w:style w:type="paragraph" w:styleId="Kop1">
    <w:name w:val="heading 1"/>
    <w:basedOn w:val="Standaard"/>
    <w:next w:val="Standaard"/>
    <w:link w:val="Kop1Char"/>
    <w:uiPriority w:val="1"/>
    <w:semiHidden/>
    <w:qFormat/>
    <w:rsid w:val="00BC5E9D"/>
    <w:pPr>
      <w:spacing w:after="400" w:line="360" w:lineRule="auto"/>
      <w:ind w:left="-86"/>
      <w:outlineLvl w:val="0"/>
    </w:pPr>
    <w:rPr>
      <w:color w:val="D9D9D9" w:themeColor="background1" w:themeShade="D9"/>
      <w:sz w:val="96"/>
    </w:rPr>
  </w:style>
  <w:style w:type="paragraph" w:styleId="Kop2">
    <w:name w:val="heading 2"/>
    <w:basedOn w:val="Standaard"/>
    <w:next w:val="Standaard"/>
    <w:link w:val="Kop2Char"/>
    <w:uiPriority w:val="1"/>
    <w:semiHidden/>
    <w:qFormat/>
    <w:rsid w:val="00BC5E9D"/>
    <w:pPr>
      <w:framePr w:hSpace="180" w:wrap="around" w:vAnchor="text" w:hAnchor="text" w:y="55"/>
      <w:spacing w:after="200"/>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C5E9D"/>
    <w:rPr>
      <w:color w:val="808080"/>
    </w:rPr>
  </w:style>
  <w:style w:type="paragraph" w:styleId="Ballontekst">
    <w:name w:val="Balloon Text"/>
    <w:basedOn w:val="Standaard"/>
    <w:link w:val="BallontekstChar"/>
    <w:uiPriority w:val="99"/>
    <w:semiHidden/>
    <w:unhideWhenUsed/>
    <w:rsid w:val="00BC5E9D"/>
    <w:rPr>
      <w:rFonts w:ascii="Tahoma" w:hAnsi="Tahoma" w:cs="Tahoma"/>
      <w:sz w:val="16"/>
      <w:szCs w:val="16"/>
    </w:rPr>
  </w:style>
  <w:style w:type="character" w:customStyle="1" w:styleId="BallontekstChar">
    <w:name w:val="Ballontekst Char"/>
    <w:basedOn w:val="Standaardalinea-lettertype"/>
    <w:link w:val="Ballontekst"/>
    <w:uiPriority w:val="99"/>
    <w:semiHidden/>
    <w:rsid w:val="00BC5E9D"/>
    <w:rPr>
      <w:rFonts w:ascii="Tahoma" w:hAnsi="Tahoma" w:cs="Tahoma"/>
      <w:sz w:val="16"/>
      <w:szCs w:val="16"/>
    </w:rPr>
  </w:style>
  <w:style w:type="character" w:customStyle="1" w:styleId="Kop1Char">
    <w:name w:val="Kop 1 Char"/>
    <w:basedOn w:val="Standaardalinea-lettertype"/>
    <w:link w:val="Kop1"/>
    <w:uiPriority w:val="1"/>
    <w:semiHidden/>
    <w:rsid w:val="00BC5E9D"/>
    <w:rPr>
      <w:color w:val="D9D9D9" w:themeColor="background1" w:themeShade="D9"/>
      <w:sz w:val="96"/>
    </w:rPr>
  </w:style>
  <w:style w:type="table" w:styleId="Tabelraster">
    <w:name w:val="Table Grid"/>
    <w:basedOn w:val="Standaardtabel"/>
    <w:uiPriority w:val="1"/>
    <w:rsid w:val="00BC5E9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BC5E9D"/>
    <w:pPr>
      <w:tabs>
        <w:tab w:val="center" w:pos="4680"/>
        <w:tab w:val="right" w:pos="9360"/>
      </w:tabs>
    </w:pPr>
  </w:style>
  <w:style w:type="character" w:customStyle="1" w:styleId="Kop2Char">
    <w:name w:val="Kop 2 Char"/>
    <w:basedOn w:val="Standaardalinea-lettertype"/>
    <w:link w:val="Kop2"/>
    <w:uiPriority w:val="1"/>
    <w:semiHidden/>
    <w:rsid w:val="00BC5E9D"/>
    <w:rPr>
      <w:b/>
      <w:sz w:val="18"/>
    </w:rPr>
  </w:style>
  <w:style w:type="paragraph" w:customStyle="1" w:styleId="Hoofding">
    <w:name w:val="Hoofding"/>
    <w:basedOn w:val="Standaard"/>
    <w:qFormat/>
    <w:rsid w:val="00BC5E9D"/>
    <w:pPr>
      <w:spacing w:after="400" w:line="360" w:lineRule="auto"/>
      <w:ind w:left="-86"/>
      <w:outlineLvl w:val="0"/>
    </w:pPr>
    <w:rPr>
      <w:color w:val="D9D9D9" w:themeColor="background1" w:themeShade="D9"/>
      <w:sz w:val="96"/>
    </w:rPr>
  </w:style>
  <w:style w:type="paragraph" w:customStyle="1" w:styleId="FaxSubheading">
    <w:name w:val="Fax Subheading"/>
    <w:basedOn w:val="Standaard"/>
    <w:rsid w:val="00BC5E9D"/>
    <w:pPr>
      <w:framePr w:hSpace="180" w:wrap="around" w:vAnchor="text" w:hAnchor="text" w:y="55"/>
      <w:spacing w:after="200"/>
    </w:pPr>
    <w:rPr>
      <w:b/>
    </w:rPr>
  </w:style>
  <w:style w:type="paragraph" w:customStyle="1" w:styleId="FaxBodyText">
    <w:name w:val="Fax Body Text"/>
    <w:basedOn w:val="Standaard"/>
    <w:rsid w:val="00BC5E9D"/>
    <w:pPr>
      <w:framePr w:hSpace="180" w:wrap="around" w:vAnchor="text" w:hAnchor="text" w:y="55"/>
    </w:pPr>
  </w:style>
  <w:style w:type="character" w:customStyle="1" w:styleId="KoptekstChar">
    <w:name w:val="Koptekst Char"/>
    <w:basedOn w:val="Standaardalinea-lettertype"/>
    <w:link w:val="Koptekst"/>
    <w:uiPriority w:val="99"/>
    <w:rsid w:val="00BC5E9D"/>
    <w:rPr>
      <w:sz w:val="18"/>
    </w:rPr>
  </w:style>
  <w:style w:type="paragraph" w:styleId="Voettekst">
    <w:name w:val="footer"/>
    <w:basedOn w:val="Standaard"/>
    <w:link w:val="VoettekstChar"/>
    <w:uiPriority w:val="99"/>
    <w:unhideWhenUsed/>
    <w:rsid w:val="00BC5E9D"/>
    <w:pPr>
      <w:tabs>
        <w:tab w:val="center" w:pos="4680"/>
        <w:tab w:val="right" w:pos="9360"/>
      </w:tabs>
    </w:pPr>
  </w:style>
  <w:style w:type="character" w:customStyle="1" w:styleId="VoettekstChar">
    <w:name w:val="Voettekst Char"/>
    <w:basedOn w:val="Standaardalinea-lettertype"/>
    <w:link w:val="Voettekst"/>
    <w:uiPriority w:val="99"/>
    <w:rsid w:val="00BC5E9D"/>
    <w:rPr>
      <w:sz w:val="18"/>
    </w:rPr>
  </w:style>
  <w:style w:type="paragraph" w:styleId="Lijstalinea">
    <w:name w:val="List Paragraph"/>
    <w:basedOn w:val="Standaard"/>
    <w:uiPriority w:val="34"/>
    <w:rsid w:val="00AC4103"/>
    <w:pPr>
      <w:ind w:left="720"/>
      <w:contextualSpacing/>
    </w:pPr>
  </w:style>
  <w:style w:type="character" w:styleId="Hyperlink">
    <w:name w:val="Hyperlink"/>
    <w:basedOn w:val="Standaardalinea-lettertype"/>
    <w:uiPriority w:val="99"/>
    <w:unhideWhenUsed/>
    <w:rsid w:val="00E305F9"/>
    <w:rPr>
      <w:b/>
      <w:bCs/>
      <w:strike w:val="0"/>
      <w:dstrike w:val="0"/>
      <w:color w:val="1E419B"/>
      <w:u w:val="none"/>
      <w:effect w:val="none"/>
    </w:rPr>
  </w:style>
  <w:style w:type="paragraph" w:customStyle="1" w:styleId="Default">
    <w:name w:val="Default"/>
    <w:rsid w:val="00AA2B0C"/>
    <w:pPr>
      <w:autoSpaceDE w:val="0"/>
      <w:autoSpaceDN w:val="0"/>
      <w:adjustRightInd w:val="0"/>
      <w:spacing w:line="240" w:lineRule="auto"/>
    </w:pPr>
    <w:rPr>
      <w:rFonts w:ascii="Calibri" w:hAnsi="Calibri" w:cs="Calibri"/>
      <w:color w:val="000000"/>
      <w:sz w:val="24"/>
      <w:szCs w:val="24"/>
      <w:lang w:val="nl-BE"/>
    </w:rPr>
  </w:style>
  <w:style w:type="paragraph" w:styleId="Titel">
    <w:name w:val="Title"/>
    <w:basedOn w:val="Standaard"/>
    <w:next w:val="Standaard"/>
    <w:link w:val="TitelChar"/>
    <w:uiPriority w:val="4"/>
    <w:qFormat/>
    <w:rsid w:val="00CF4B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4"/>
    <w:rsid w:val="00CF4BDA"/>
    <w:rPr>
      <w:rFonts w:asciiTheme="majorHAnsi" w:eastAsiaTheme="majorEastAsia" w:hAnsiTheme="majorHAnsi" w:cstheme="majorBidi"/>
      <w:color w:val="17365D" w:themeColor="text2" w:themeShade="BF"/>
      <w:spacing w:val="5"/>
      <w:kern w:val="28"/>
      <w:sz w:val="52"/>
      <w:szCs w:val="52"/>
      <w:lang w:val="nl-NL"/>
    </w:rPr>
  </w:style>
  <w:style w:type="paragraph" w:styleId="Ondertitel">
    <w:name w:val="Subtitle"/>
    <w:aliases w:val="Hoofdmenu"/>
    <w:basedOn w:val="Standaard"/>
    <w:next w:val="Standaard"/>
    <w:link w:val="OndertitelChar"/>
    <w:uiPriority w:val="5"/>
    <w:qFormat/>
    <w:rsid w:val="009C0EF8"/>
    <w:pPr>
      <w:numPr>
        <w:ilvl w:val="1"/>
      </w:numPr>
    </w:pPr>
    <w:rPr>
      <w:rFonts w:eastAsiaTheme="majorEastAsia" w:cstheme="majorBidi"/>
      <w:i/>
      <w:iCs/>
      <w:color w:val="4F81BD" w:themeColor="accent1"/>
      <w:spacing w:val="15"/>
      <w:sz w:val="28"/>
      <w:szCs w:val="24"/>
    </w:rPr>
  </w:style>
  <w:style w:type="character" w:customStyle="1" w:styleId="OndertitelChar">
    <w:name w:val="Ondertitel Char"/>
    <w:aliases w:val="Hoofdmenu Char"/>
    <w:basedOn w:val="Standaardalinea-lettertype"/>
    <w:link w:val="Ondertitel"/>
    <w:uiPriority w:val="5"/>
    <w:rsid w:val="009C0EF8"/>
    <w:rPr>
      <w:rFonts w:eastAsiaTheme="majorEastAsia" w:cstheme="majorBidi"/>
      <w:i/>
      <w:iCs/>
      <w:color w:val="4F81BD" w:themeColor="accent1"/>
      <w:spacing w:val="15"/>
      <w:sz w:val="28"/>
      <w:szCs w:val="24"/>
      <w:lang w:val="nl-NL"/>
    </w:rPr>
  </w:style>
  <w:style w:type="paragraph" w:styleId="Lijstopsomteken">
    <w:name w:val="List Bullet"/>
    <w:basedOn w:val="Standaard"/>
    <w:link w:val="LijstopsomtekenChar"/>
    <w:uiPriority w:val="9"/>
    <w:rsid w:val="00AA2B0C"/>
    <w:pPr>
      <w:numPr>
        <w:numId w:val="1"/>
      </w:numPr>
      <w:contextualSpacing/>
    </w:pPr>
  </w:style>
  <w:style w:type="paragraph" w:customStyle="1" w:styleId="Submenu3">
    <w:name w:val="Submenu 3"/>
    <w:basedOn w:val="Lijstopsomteken"/>
    <w:next w:val="Standaard"/>
    <w:link w:val="Submenu3Char"/>
    <w:qFormat/>
    <w:rsid w:val="00A913B5"/>
    <w:pPr>
      <w:numPr>
        <w:numId w:val="0"/>
      </w:numPr>
      <w:ind w:left="851"/>
    </w:pPr>
  </w:style>
  <w:style w:type="paragraph" w:customStyle="1" w:styleId="Submenu1">
    <w:name w:val="Submenu 1"/>
    <w:basedOn w:val="Ondertitel"/>
    <w:next w:val="Standaard"/>
    <w:link w:val="Submenu1Char"/>
    <w:qFormat/>
    <w:rsid w:val="00A913B5"/>
    <w:pPr>
      <w:ind w:left="284"/>
    </w:pPr>
    <w:rPr>
      <w:sz w:val="24"/>
      <w:szCs w:val="20"/>
    </w:rPr>
  </w:style>
  <w:style w:type="character" w:customStyle="1" w:styleId="LijstopsomtekenChar">
    <w:name w:val="Lijst opsom.teken Char"/>
    <w:basedOn w:val="Standaardalinea-lettertype"/>
    <w:link w:val="Lijstopsomteken"/>
    <w:uiPriority w:val="9"/>
    <w:rsid w:val="00BC3EA4"/>
    <w:rPr>
      <w:sz w:val="18"/>
      <w:lang w:val="nl-NL"/>
    </w:rPr>
  </w:style>
  <w:style w:type="character" w:customStyle="1" w:styleId="Submenu3Char">
    <w:name w:val="Submenu 3 Char"/>
    <w:basedOn w:val="LijstopsomtekenChar"/>
    <w:link w:val="Submenu3"/>
    <w:rsid w:val="00A913B5"/>
    <w:rPr>
      <w:sz w:val="20"/>
      <w:lang w:val="nl-NL"/>
    </w:rPr>
  </w:style>
  <w:style w:type="character" w:styleId="Zwaar">
    <w:name w:val="Strong"/>
    <w:basedOn w:val="Standaardalinea-lettertype"/>
    <w:uiPriority w:val="2"/>
    <w:rsid w:val="00BC3EA4"/>
    <w:rPr>
      <w:b/>
      <w:bCs/>
    </w:rPr>
  </w:style>
  <w:style w:type="character" w:customStyle="1" w:styleId="Submenu1Char">
    <w:name w:val="Submenu 1 Char"/>
    <w:basedOn w:val="OndertitelChar"/>
    <w:link w:val="Submenu1"/>
    <w:rsid w:val="00A913B5"/>
    <w:rPr>
      <w:rFonts w:eastAsiaTheme="majorEastAsia" w:cstheme="majorBidi"/>
      <w:i/>
      <w:iCs/>
      <w:color w:val="4F81BD" w:themeColor="accent1"/>
      <w:spacing w:val="15"/>
      <w:sz w:val="24"/>
      <w:szCs w:val="20"/>
      <w:lang w:val="nl-NL"/>
    </w:rPr>
  </w:style>
  <w:style w:type="character" w:styleId="Intensievebenadrukking">
    <w:name w:val="Intense Emphasis"/>
    <w:basedOn w:val="Standaardalinea-lettertype"/>
    <w:uiPriority w:val="21"/>
    <w:rsid w:val="00EE6EC8"/>
    <w:rPr>
      <w:b/>
      <w:bCs/>
      <w:i/>
      <w:iCs/>
      <w:color w:val="4F81BD" w:themeColor="accent1"/>
    </w:rPr>
  </w:style>
  <w:style w:type="paragraph" w:customStyle="1" w:styleId="Submenu2">
    <w:name w:val="Submenu 2"/>
    <w:basedOn w:val="Submenu1"/>
    <w:next w:val="Standaard"/>
    <w:link w:val="Submenu2Char"/>
    <w:qFormat/>
    <w:rsid w:val="00A913B5"/>
    <w:pPr>
      <w:ind w:left="567"/>
    </w:pPr>
    <w:rPr>
      <w:sz w:val="20"/>
    </w:rPr>
  </w:style>
  <w:style w:type="character" w:customStyle="1" w:styleId="Submenu2Char">
    <w:name w:val="Submenu 2 Char"/>
    <w:basedOn w:val="Submenu1Char"/>
    <w:link w:val="Submenu2"/>
    <w:rsid w:val="00A913B5"/>
    <w:rPr>
      <w:rFonts w:eastAsiaTheme="majorEastAsia" w:cstheme="majorBidi"/>
      <w:i/>
      <w:iCs/>
      <w:color w:val="4F81BD" w:themeColor="accent1"/>
      <w:spacing w:val="15"/>
      <w:sz w:val="20"/>
      <w:szCs w:val="20"/>
      <w:lang w:val="nl-NL"/>
    </w:rPr>
  </w:style>
  <w:style w:type="paragraph" w:styleId="Bloktekst">
    <w:name w:val="Block Text"/>
    <w:basedOn w:val="Standaard"/>
    <w:uiPriority w:val="3"/>
    <w:rsid w:val="00CF4BD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table" w:customStyle="1" w:styleId="Tabelraster1">
    <w:name w:val="Tabelraster1"/>
    <w:basedOn w:val="Standaardtabel"/>
    <w:next w:val="Tabelraster"/>
    <w:uiPriority w:val="39"/>
    <w:rsid w:val="00991092"/>
    <w:pPr>
      <w:spacing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customStreamsXsn.xml">
  <tns:showOnOpen>true</tns:showOnOpen>
  <tns:defaultPropertyEditorNamespace>Office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CBDA964ABCF6134795B89D3DFFAE1FEF0400396DD46F8E1CE5468AAD42C750079EC0" ma:contentTypeVersion="31" ma:contentTypeDescription="Create a new document." ma:contentTypeScope="" ma:versionID="14c08e8da1f6811983b82d332a5ecd27"/>
</file>

<file path=customXml/item4.xml><?xml version="1.0" encoding="utf-8"?>
<p:properties xmlns:p="http://schemas.microsoft.com/office/2006/metadata/properties" xmlns:xsi="http://www.w3.org/2001/XMLSchema-instance" xmlns:pc="http://schemas.microsoft.com/office/infopath/2007/PartnerControl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7199-2424-4E7F-9203-256E45805BCB}">
  <ds:schemaRefs>
    <ds:schemaRef ds:uri="customStreamsXsn.xml"/>
  </ds:schemaRefs>
</ds:datastoreItem>
</file>

<file path=customXml/itemProps2.xml><?xml version="1.0" encoding="utf-8"?>
<ds:datastoreItem xmlns:ds="http://schemas.openxmlformats.org/officeDocument/2006/customXml" ds:itemID="{28B0E9E1-5393-42B9-821C-51BFE3AB6FE6}">
  <ds:schemaRefs>
    <ds:schemaRef ds:uri="http://schemas.microsoft.com/sharepoint/v3/contenttype/forms"/>
  </ds:schemaRefs>
</ds:datastoreItem>
</file>

<file path=customXml/itemProps3.xml><?xml version="1.0" encoding="utf-8"?>
<ds:datastoreItem xmlns:ds="http://schemas.openxmlformats.org/officeDocument/2006/customXml" ds:itemID="{D7B9B2B3-B06C-4B40-9EB7-6AA9982F7C74}">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B823D24C-3D0C-4D42-A2FB-C6673AAAA1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5DE510-E99E-462B-8B0A-E9554D3B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1114</Words>
  <Characters>6664</Characters>
  <Application>Microsoft Office Word</Application>
  <DocSecurity>0</DocSecurity>
  <Lines>317</Lines>
  <Paragraphs>199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SERVICO</Company>
  <LinksUpToDate>false</LinksUpToDate>
  <CharactersWithSpaces>7579</CharactersWithSpaces>
  <SharedDoc>false</SharedDoc>
  <HyperlinkBase>www.servico.be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Moons</dc:creator>
  <cp:lastModifiedBy>David Moons</cp:lastModifiedBy>
  <cp:revision>7</cp:revision>
  <cp:lastPrinted>2011-10-07T15:26:00Z</cp:lastPrinted>
  <dcterms:created xsi:type="dcterms:W3CDTF">2021-12-08T15:39:00Z</dcterms:created>
  <dcterms:modified xsi:type="dcterms:W3CDTF">2021-12-08T21:36:00Z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